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81"/>
        <w:tabs>
          <w:tab w:val="right" w:pos="9639"/>
        </w:tabs>
        <w:spacing w:after="0"/>
        <w:rPr>
          <w:rFonts w:hint="default" w:eastAsia="宋体"/>
          <w:b/>
          <w:i/>
          <w:sz w:val="28"/>
          <w:lang w:val="en-US" w:eastAsia="zh-CN"/>
        </w:rPr>
      </w:pPr>
      <w:r>
        <w:rPr>
          <w:b/>
          <w:sz w:val="24"/>
        </w:rPr>
        <w:t>3GPP TSG-RAN WG4 Meeting #11</w:t>
      </w:r>
      <w:r>
        <w:rPr>
          <w:rFonts w:hint="eastAsia"/>
          <w:b/>
          <w:sz w:val="24"/>
          <w:lang w:val="en-US" w:eastAsia="zh-CN"/>
        </w:rPr>
        <w:t>8</w:t>
      </w:r>
      <w:r>
        <w:rPr>
          <w:b/>
          <w:i/>
          <w:sz w:val="28"/>
        </w:rPr>
        <w:tab/>
      </w:r>
      <w:r>
        <w:rPr>
          <w:b/>
          <w:i/>
          <w:sz w:val="28"/>
        </w:rPr>
        <w:t>R4-2</w:t>
      </w:r>
      <w:r>
        <w:rPr>
          <w:rFonts w:hint="eastAsia"/>
          <w:b/>
          <w:i/>
          <w:sz w:val="28"/>
          <w:lang w:val="en-US" w:eastAsia="zh-CN"/>
        </w:rPr>
        <w:t>601813</w:t>
      </w:r>
    </w:p>
    <w:p w14:paraId="7CB45193">
      <w:pPr>
        <w:pStyle w:val="81"/>
        <w:outlineLvl w:val="0"/>
        <w:rPr>
          <w:b/>
          <w:sz w:val="24"/>
        </w:rPr>
      </w:pPr>
      <w:r>
        <w:rPr>
          <w:b/>
          <w:sz w:val="24"/>
        </w:rPr>
        <w:t xml:space="preserve"> </w:t>
      </w:r>
      <w:r>
        <w:rPr>
          <w:b/>
          <w:sz w:val="24"/>
          <w:lang w:eastAsia="zh-CN"/>
        </w:rPr>
        <w:t>Gothenburg, Sweden, Feb. 09-13, 2026</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81"/>
              <w:spacing w:after="0"/>
              <w:jc w:val="right"/>
              <w:rPr>
                <w:i/>
              </w:rPr>
            </w:pPr>
            <w:r>
              <w:rPr>
                <w:i/>
                <w:sz w:val="14"/>
              </w:rPr>
              <w:t>CR-Form-v12.4</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81"/>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81"/>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81"/>
              <w:spacing w:after="0"/>
              <w:jc w:val="right"/>
            </w:pPr>
          </w:p>
        </w:tc>
        <w:tc>
          <w:tcPr>
            <w:tcW w:w="1559" w:type="dxa"/>
            <w:shd w:val="pct30" w:color="FFFF00" w:fill="auto"/>
          </w:tcPr>
          <w:p w14:paraId="52508B66">
            <w:pPr>
              <w:pStyle w:val="81"/>
              <w:spacing w:after="0"/>
              <w:jc w:val="right"/>
              <w:rPr>
                <w:b/>
                <w:sz w:val="28"/>
              </w:rPr>
            </w:pPr>
            <w:r>
              <w:rPr>
                <w:b/>
                <w:sz w:val="28"/>
              </w:rPr>
              <w:t>38.133</w:t>
            </w:r>
          </w:p>
        </w:tc>
        <w:tc>
          <w:tcPr>
            <w:tcW w:w="709" w:type="dxa"/>
          </w:tcPr>
          <w:p w14:paraId="77009707">
            <w:pPr>
              <w:pStyle w:val="81"/>
              <w:spacing w:after="0"/>
              <w:jc w:val="center"/>
            </w:pPr>
            <w:r>
              <w:rPr>
                <w:b/>
                <w:sz w:val="28"/>
              </w:rPr>
              <w:t>CR</w:t>
            </w:r>
          </w:p>
        </w:tc>
        <w:tc>
          <w:tcPr>
            <w:tcW w:w="1276" w:type="dxa"/>
            <w:shd w:val="pct30" w:color="FFFF00" w:fill="auto"/>
          </w:tcPr>
          <w:p w14:paraId="6CAED29D">
            <w:pPr>
              <w:pStyle w:val="81"/>
              <w:spacing w:after="0"/>
              <w:jc w:val="center"/>
              <w:rPr>
                <w:rFonts w:hint="default" w:eastAsia="宋体"/>
                <w:lang w:val="en-US" w:eastAsia="zh-CN"/>
              </w:rPr>
            </w:pPr>
            <w:r>
              <w:rPr>
                <w:rFonts w:hint="eastAsia"/>
                <w:b/>
                <w:sz w:val="28"/>
                <w:lang w:val="en-US" w:eastAsia="zh-CN"/>
              </w:rPr>
              <w:t>6506</w:t>
            </w:r>
          </w:p>
        </w:tc>
        <w:tc>
          <w:tcPr>
            <w:tcW w:w="709" w:type="dxa"/>
          </w:tcPr>
          <w:p w14:paraId="09D2C09B">
            <w:pPr>
              <w:pStyle w:val="81"/>
              <w:tabs>
                <w:tab w:val="right" w:pos="625"/>
              </w:tabs>
              <w:spacing w:after="0"/>
              <w:jc w:val="center"/>
            </w:pPr>
            <w:r>
              <w:rPr>
                <w:b/>
                <w:bCs/>
                <w:sz w:val="28"/>
              </w:rPr>
              <w:t>rev</w:t>
            </w:r>
          </w:p>
        </w:tc>
        <w:tc>
          <w:tcPr>
            <w:tcW w:w="992" w:type="dxa"/>
            <w:shd w:val="pct30" w:color="FFFF00" w:fill="auto"/>
          </w:tcPr>
          <w:p w14:paraId="7533BF9D">
            <w:pPr>
              <w:pStyle w:val="81"/>
              <w:spacing w:after="0"/>
              <w:ind w:firstLine="400" w:firstLineChars="200"/>
              <w:rPr>
                <w:b/>
              </w:rPr>
            </w:pPr>
            <w:r>
              <w:rPr>
                <w:rFonts w:hint="eastAsia"/>
                <w:lang w:eastAsia="zh-CN"/>
              </w:rPr>
              <w:t>-</w:t>
            </w:r>
          </w:p>
        </w:tc>
        <w:tc>
          <w:tcPr>
            <w:tcW w:w="2410" w:type="dxa"/>
          </w:tcPr>
          <w:p w14:paraId="5D4AEAE9">
            <w:pPr>
              <w:pStyle w:val="81"/>
              <w:tabs>
                <w:tab w:val="right" w:pos="1825"/>
              </w:tabs>
              <w:spacing w:after="0"/>
              <w:jc w:val="center"/>
            </w:pPr>
            <w:r>
              <w:rPr>
                <w:b/>
                <w:sz w:val="28"/>
                <w:szCs w:val="28"/>
              </w:rPr>
              <w:t>Current version:</w:t>
            </w:r>
          </w:p>
        </w:tc>
        <w:tc>
          <w:tcPr>
            <w:tcW w:w="1701" w:type="dxa"/>
            <w:shd w:val="pct30" w:color="FFFF00" w:fill="auto"/>
          </w:tcPr>
          <w:p w14:paraId="1E22D6AC">
            <w:pPr>
              <w:pStyle w:val="81"/>
              <w:spacing w:after="0"/>
              <w:jc w:val="center"/>
              <w:rPr>
                <w:sz w:val="28"/>
              </w:rPr>
            </w:pPr>
            <w:r>
              <w:rPr>
                <w:b/>
                <w:sz w:val="28"/>
              </w:rPr>
              <w:t>1</w:t>
            </w:r>
            <w:r>
              <w:rPr>
                <w:rFonts w:hint="eastAsia"/>
                <w:b/>
                <w:sz w:val="28"/>
                <w:lang w:val="en-US" w:eastAsia="zh-CN"/>
              </w:rPr>
              <w:t>8</w:t>
            </w:r>
            <w:r>
              <w:rPr>
                <w:b/>
                <w:sz w:val="28"/>
              </w:rPr>
              <w:t>.</w:t>
            </w:r>
            <w:r>
              <w:rPr>
                <w:rFonts w:hint="eastAsia"/>
                <w:b/>
                <w:sz w:val="28"/>
                <w:lang w:val="en-US" w:eastAsia="zh-CN"/>
              </w:rPr>
              <w:t>12</w:t>
            </w:r>
            <w:r>
              <w:rPr>
                <w:b/>
                <w:sz w:val="28"/>
              </w:rPr>
              <w:t>.0</w:t>
            </w:r>
          </w:p>
        </w:tc>
        <w:tc>
          <w:tcPr>
            <w:tcW w:w="143" w:type="dxa"/>
            <w:tcBorders>
              <w:right w:val="single" w:color="auto" w:sz="4" w:space="0"/>
            </w:tcBorders>
          </w:tcPr>
          <w:p w14:paraId="399238C9">
            <w:pPr>
              <w:pStyle w:val="81"/>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81"/>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81"/>
              <w:spacing w:after="0"/>
              <w:jc w:val="center"/>
              <w:rPr>
                <w:rFonts w:cs="Arial"/>
                <w:i/>
              </w:rPr>
            </w:pPr>
            <w:r>
              <w:rPr>
                <w:rFonts w:cs="Arial"/>
                <w:i/>
              </w:rPr>
              <w:t xml:space="preserve">For </w:t>
            </w:r>
            <w:r>
              <w:rPr>
                <w:rFonts w:cs="Arial"/>
                <w:b/>
                <w:i/>
              </w:rPr>
              <w:t>HE</w:t>
            </w:r>
            <w:bookmarkStart w:id="0" w:name="_Hlt497126619"/>
            <w:r>
              <w:rPr>
                <w:rFonts w:cs="Arial"/>
                <w:b/>
                <w:i/>
              </w:rPr>
              <w:t>L</w:t>
            </w:r>
            <w:bookmarkEnd w:id="0"/>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14:paraId="296CF086">
        <w:tblPrEx>
          <w:tblCellMar>
            <w:top w:w="0" w:type="dxa"/>
            <w:left w:w="42" w:type="dxa"/>
            <w:bottom w:w="0" w:type="dxa"/>
            <w:right w:w="42" w:type="dxa"/>
          </w:tblCellMar>
        </w:tblPrEx>
        <w:tc>
          <w:tcPr>
            <w:tcW w:w="9641" w:type="dxa"/>
            <w:gridSpan w:val="9"/>
          </w:tcPr>
          <w:p w14:paraId="7D4A60B5">
            <w:pPr>
              <w:pStyle w:val="81"/>
              <w:spacing w:after="0"/>
              <w:rPr>
                <w:sz w:val="8"/>
                <w:szCs w:val="8"/>
              </w:rPr>
            </w:pPr>
          </w:p>
        </w:tc>
      </w:tr>
    </w:tbl>
    <w:p w14:paraId="53540664">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81"/>
              <w:tabs>
                <w:tab w:val="right" w:pos="2751"/>
              </w:tabs>
              <w:spacing w:after="0"/>
              <w:rPr>
                <w:b/>
                <w:i/>
              </w:rPr>
            </w:pPr>
            <w:r>
              <w:rPr>
                <w:b/>
                <w:i/>
              </w:rPr>
              <w:t>Proposed change affects:</w:t>
            </w:r>
          </w:p>
        </w:tc>
        <w:tc>
          <w:tcPr>
            <w:tcW w:w="1418" w:type="dxa"/>
          </w:tcPr>
          <w:p w14:paraId="07128383">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81"/>
              <w:spacing w:after="0"/>
              <w:jc w:val="center"/>
              <w:rPr>
                <w:b/>
                <w:caps/>
              </w:rPr>
            </w:pPr>
          </w:p>
        </w:tc>
        <w:tc>
          <w:tcPr>
            <w:tcW w:w="709" w:type="dxa"/>
            <w:tcBorders>
              <w:left w:val="single" w:color="auto" w:sz="4" w:space="0"/>
            </w:tcBorders>
          </w:tcPr>
          <w:p w14:paraId="3519D777">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81"/>
              <w:spacing w:after="0"/>
              <w:jc w:val="center"/>
              <w:rPr>
                <w:b/>
                <w:caps/>
              </w:rPr>
            </w:pPr>
            <w:r>
              <w:rPr>
                <w:b/>
                <w:caps/>
              </w:rPr>
              <w:t>x</w:t>
            </w:r>
          </w:p>
        </w:tc>
        <w:tc>
          <w:tcPr>
            <w:tcW w:w="2126" w:type="dxa"/>
          </w:tcPr>
          <w:p w14:paraId="2ED8415F">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81"/>
              <w:spacing w:after="0"/>
              <w:jc w:val="center"/>
              <w:rPr>
                <w:b/>
                <w:caps/>
              </w:rPr>
            </w:pPr>
          </w:p>
        </w:tc>
        <w:tc>
          <w:tcPr>
            <w:tcW w:w="1418" w:type="dxa"/>
            <w:tcBorders>
              <w:left w:val="nil"/>
            </w:tcBorders>
          </w:tcPr>
          <w:p w14:paraId="6562735E">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81"/>
              <w:spacing w:after="0"/>
              <w:jc w:val="center"/>
              <w:rPr>
                <w:b/>
                <w:bCs/>
                <w:caps/>
              </w:rPr>
            </w:pPr>
          </w:p>
        </w:tc>
      </w:tr>
    </w:tbl>
    <w:p w14:paraId="69DCC391">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81"/>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81"/>
              <w:spacing w:after="0"/>
              <w:ind w:left="100"/>
              <w:rPr>
                <w:rFonts w:hint="default" w:eastAsia="宋体"/>
                <w:lang w:val="en-US" w:eastAsia="zh-CN"/>
              </w:rPr>
            </w:pPr>
            <w:r>
              <w:rPr>
                <w:rFonts w:hint="default" w:eastAsia="宋体"/>
                <w:lang w:val="en-US" w:eastAsia="zh-CN"/>
              </w:rPr>
              <w:t>(NR_ATG-Core) CR on measurement requirements of ATG_R18</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81"/>
              <w:spacing w:after="0"/>
              <w:rPr>
                <w:b/>
                <w:i/>
                <w:sz w:val="8"/>
                <w:szCs w:val="8"/>
              </w:rPr>
            </w:pPr>
          </w:p>
        </w:tc>
        <w:tc>
          <w:tcPr>
            <w:tcW w:w="7797" w:type="dxa"/>
            <w:gridSpan w:val="10"/>
            <w:tcBorders>
              <w:right w:val="single" w:color="auto" w:sz="4" w:space="0"/>
            </w:tcBorders>
          </w:tcPr>
          <w:p w14:paraId="22071BC1">
            <w:pPr>
              <w:pStyle w:val="81"/>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81"/>
              <w:spacing w:after="0"/>
              <w:ind w:left="100"/>
            </w:pPr>
            <w:r>
              <w:t>ZTE Corporation, Sanechips</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81"/>
              <w:spacing w:after="0"/>
              <w:ind w:left="100"/>
            </w:pPr>
            <w: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81"/>
              <w:spacing w:after="0"/>
              <w:rPr>
                <w:b/>
                <w:i/>
                <w:sz w:val="8"/>
                <w:szCs w:val="8"/>
              </w:rPr>
            </w:pPr>
          </w:p>
        </w:tc>
        <w:tc>
          <w:tcPr>
            <w:tcW w:w="7797" w:type="dxa"/>
            <w:gridSpan w:val="10"/>
            <w:tcBorders>
              <w:right w:val="single" w:color="auto" w:sz="4" w:space="0"/>
            </w:tcBorders>
          </w:tcPr>
          <w:p w14:paraId="6ED4D65A">
            <w:pPr>
              <w:pStyle w:val="81"/>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81"/>
              <w:tabs>
                <w:tab w:val="right" w:pos="1759"/>
              </w:tabs>
              <w:spacing w:after="0"/>
              <w:rPr>
                <w:b/>
                <w:i/>
              </w:rPr>
            </w:pPr>
            <w:r>
              <w:rPr>
                <w:b/>
                <w:i/>
              </w:rPr>
              <w:t>Work item code:</w:t>
            </w:r>
          </w:p>
        </w:tc>
        <w:tc>
          <w:tcPr>
            <w:tcW w:w="3686" w:type="dxa"/>
            <w:gridSpan w:val="5"/>
            <w:shd w:val="pct30" w:color="FFFF00" w:fill="auto"/>
          </w:tcPr>
          <w:p w14:paraId="115414A3">
            <w:pPr>
              <w:pStyle w:val="81"/>
              <w:spacing w:after="0"/>
              <w:ind w:left="100"/>
            </w:pPr>
            <w:r>
              <w:rPr>
                <w:rFonts w:hint="default" w:eastAsia="宋体"/>
                <w:lang w:val="en-US" w:eastAsia="zh-CN"/>
              </w:rPr>
              <w:t>NR_ATG-Core</w:t>
            </w:r>
          </w:p>
        </w:tc>
        <w:tc>
          <w:tcPr>
            <w:tcW w:w="567" w:type="dxa"/>
            <w:tcBorders>
              <w:left w:val="nil"/>
            </w:tcBorders>
          </w:tcPr>
          <w:p w14:paraId="61A86BCF">
            <w:pPr>
              <w:pStyle w:val="81"/>
              <w:spacing w:after="0"/>
              <w:ind w:right="100"/>
            </w:pPr>
          </w:p>
        </w:tc>
        <w:tc>
          <w:tcPr>
            <w:tcW w:w="1417" w:type="dxa"/>
            <w:gridSpan w:val="3"/>
            <w:tcBorders>
              <w:left w:val="nil"/>
            </w:tcBorders>
          </w:tcPr>
          <w:p w14:paraId="153CBFB1">
            <w:pPr>
              <w:pStyle w:val="81"/>
              <w:spacing w:after="0"/>
              <w:jc w:val="right"/>
            </w:pPr>
            <w:r>
              <w:rPr>
                <w:b/>
                <w:i/>
              </w:rPr>
              <w:t>Date:</w:t>
            </w:r>
          </w:p>
        </w:tc>
        <w:tc>
          <w:tcPr>
            <w:tcW w:w="2127" w:type="dxa"/>
            <w:tcBorders>
              <w:right w:val="single" w:color="auto" w:sz="4" w:space="0"/>
            </w:tcBorders>
            <w:shd w:val="pct30" w:color="FFFF00" w:fill="auto"/>
          </w:tcPr>
          <w:p w14:paraId="56929475">
            <w:pPr>
              <w:pStyle w:val="81"/>
              <w:spacing w:after="0"/>
              <w:ind w:left="100"/>
              <w:rPr>
                <w:rFonts w:hint="default" w:eastAsia="宋体"/>
                <w:lang w:val="en-US" w:eastAsia="zh-CN"/>
              </w:rPr>
            </w:pPr>
            <w:r>
              <w:t>202</w:t>
            </w:r>
            <w:r>
              <w:rPr>
                <w:rFonts w:hint="eastAsia"/>
                <w:lang w:val="en-US" w:eastAsia="zh-CN"/>
              </w:rPr>
              <w:t>6</w:t>
            </w:r>
            <w:r>
              <w:t>-</w:t>
            </w:r>
            <w:r>
              <w:rPr>
                <w:rFonts w:hint="eastAsia"/>
                <w:lang w:val="en-US" w:eastAsia="zh-CN"/>
              </w:rPr>
              <w:t>0</w:t>
            </w:r>
            <w:r>
              <w:t>1-</w:t>
            </w:r>
            <w:r>
              <w:rPr>
                <w:rFonts w:hint="eastAsia"/>
                <w:lang w:val="en-US" w:eastAsia="zh-CN"/>
              </w:rPr>
              <w:t>29</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81"/>
              <w:spacing w:after="0"/>
              <w:rPr>
                <w:b/>
                <w:i/>
                <w:sz w:val="8"/>
                <w:szCs w:val="8"/>
              </w:rPr>
            </w:pPr>
          </w:p>
        </w:tc>
        <w:tc>
          <w:tcPr>
            <w:tcW w:w="1986" w:type="dxa"/>
            <w:gridSpan w:val="4"/>
          </w:tcPr>
          <w:p w14:paraId="2F73FCFB">
            <w:pPr>
              <w:pStyle w:val="81"/>
              <w:spacing w:after="0"/>
              <w:rPr>
                <w:sz w:val="8"/>
                <w:szCs w:val="8"/>
              </w:rPr>
            </w:pPr>
          </w:p>
        </w:tc>
        <w:tc>
          <w:tcPr>
            <w:tcW w:w="2267" w:type="dxa"/>
            <w:gridSpan w:val="2"/>
          </w:tcPr>
          <w:p w14:paraId="0FBCFC35">
            <w:pPr>
              <w:pStyle w:val="81"/>
              <w:spacing w:after="0"/>
              <w:rPr>
                <w:sz w:val="8"/>
                <w:szCs w:val="8"/>
              </w:rPr>
            </w:pPr>
          </w:p>
        </w:tc>
        <w:tc>
          <w:tcPr>
            <w:tcW w:w="1417" w:type="dxa"/>
            <w:gridSpan w:val="3"/>
          </w:tcPr>
          <w:p w14:paraId="60243A9E">
            <w:pPr>
              <w:pStyle w:val="81"/>
              <w:spacing w:after="0"/>
              <w:rPr>
                <w:sz w:val="8"/>
                <w:szCs w:val="8"/>
              </w:rPr>
            </w:pPr>
          </w:p>
        </w:tc>
        <w:tc>
          <w:tcPr>
            <w:tcW w:w="2127" w:type="dxa"/>
            <w:tcBorders>
              <w:right w:val="single" w:color="auto" w:sz="4" w:space="0"/>
            </w:tcBorders>
          </w:tcPr>
          <w:p w14:paraId="68E9B688">
            <w:pPr>
              <w:pStyle w:val="81"/>
              <w:spacing w:after="0"/>
              <w:rPr>
                <w:sz w:val="8"/>
                <w:szCs w:val="8"/>
              </w:rPr>
            </w:pPr>
          </w:p>
        </w:tc>
      </w:tr>
      <w:tr w14:paraId="13D4AF59">
        <w:tblPrEx>
          <w:tblCellMar>
            <w:top w:w="0" w:type="dxa"/>
            <w:left w:w="42" w:type="dxa"/>
            <w:bottom w:w="0" w:type="dxa"/>
            <w:right w:w="42" w:type="dxa"/>
          </w:tblCellMar>
        </w:tblPrEx>
        <w:trPr>
          <w:cantSplit/>
        </w:trPr>
        <w:tc>
          <w:tcPr>
            <w:tcW w:w="1843" w:type="dxa"/>
            <w:tcBorders>
              <w:left w:val="single" w:color="auto" w:sz="4" w:space="0"/>
            </w:tcBorders>
          </w:tcPr>
          <w:p w14:paraId="1E6EA205">
            <w:pPr>
              <w:pStyle w:val="81"/>
              <w:tabs>
                <w:tab w:val="right" w:pos="1759"/>
              </w:tabs>
              <w:spacing w:after="0"/>
              <w:rPr>
                <w:b/>
                <w:i/>
              </w:rPr>
            </w:pPr>
            <w:r>
              <w:rPr>
                <w:b/>
                <w:i/>
              </w:rPr>
              <w:t>Category:</w:t>
            </w:r>
          </w:p>
        </w:tc>
        <w:tc>
          <w:tcPr>
            <w:tcW w:w="851" w:type="dxa"/>
            <w:shd w:val="pct30" w:color="FFFF00" w:fill="auto"/>
          </w:tcPr>
          <w:p w14:paraId="154A6113">
            <w:pPr>
              <w:pStyle w:val="81"/>
              <w:spacing w:after="0"/>
              <w:ind w:left="100" w:right="-609"/>
              <w:rPr>
                <w:b/>
              </w:rPr>
            </w:pPr>
            <w:r>
              <w:rPr>
                <w:b/>
              </w:rPr>
              <w:t>F</w:t>
            </w:r>
          </w:p>
        </w:tc>
        <w:tc>
          <w:tcPr>
            <w:tcW w:w="3402" w:type="dxa"/>
            <w:gridSpan w:val="5"/>
            <w:tcBorders>
              <w:left w:val="nil"/>
            </w:tcBorders>
          </w:tcPr>
          <w:p w14:paraId="617AE5C6">
            <w:pPr>
              <w:pStyle w:val="81"/>
              <w:spacing w:after="0"/>
            </w:pPr>
          </w:p>
        </w:tc>
        <w:tc>
          <w:tcPr>
            <w:tcW w:w="1417" w:type="dxa"/>
            <w:gridSpan w:val="3"/>
            <w:tcBorders>
              <w:left w:val="nil"/>
            </w:tcBorders>
          </w:tcPr>
          <w:p w14:paraId="42CDCEE5">
            <w:pPr>
              <w:pStyle w:val="81"/>
              <w:spacing w:after="0"/>
              <w:jc w:val="right"/>
              <w:rPr>
                <w:b/>
                <w:i/>
              </w:rPr>
            </w:pPr>
            <w:r>
              <w:rPr>
                <w:b/>
                <w:i/>
              </w:rPr>
              <w:t>Release:</w:t>
            </w:r>
          </w:p>
        </w:tc>
        <w:tc>
          <w:tcPr>
            <w:tcW w:w="2127" w:type="dxa"/>
            <w:tcBorders>
              <w:right w:val="single" w:color="auto" w:sz="4" w:space="0"/>
            </w:tcBorders>
            <w:shd w:val="pct30" w:color="FFFF00" w:fill="auto"/>
          </w:tcPr>
          <w:p w14:paraId="6C870B98">
            <w:pPr>
              <w:pStyle w:val="81"/>
              <w:spacing w:after="0"/>
              <w:ind w:left="100"/>
              <w:rPr>
                <w:rFonts w:hint="eastAsia" w:eastAsia="宋体"/>
                <w:lang w:eastAsia="zh-CN"/>
              </w:rPr>
            </w:pPr>
            <w:r>
              <w:t>Rel-1</w:t>
            </w:r>
            <w:r>
              <w:rPr>
                <w:rFonts w:hint="eastAsia"/>
                <w:lang w:val="en-US" w:eastAsia="zh-CN"/>
              </w:rPr>
              <w:t>8</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81"/>
              <w:spacing w:after="0"/>
              <w:rPr>
                <w:b/>
                <w:i/>
              </w:rPr>
            </w:pPr>
          </w:p>
        </w:tc>
        <w:tc>
          <w:tcPr>
            <w:tcW w:w="4677" w:type="dxa"/>
            <w:gridSpan w:val="8"/>
            <w:tcBorders>
              <w:bottom w:val="single" w:color="auto" w:sz="4" w:space="0"/>
            </w:tcBorders>
          </w:tcPr>
          <w:p w14:paraId="78418D37">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81"/>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tcPr>
          <w:p w14:paraId="1A28F380">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81"/>
              <w:spacing w:after="0"/>
              <w:rPr>
                <w:b/>
                <w:i/>
                <w:sz w:val="8"/>
                <w:szCs w:val="8"/>
              </w:rPr>
            </w:pPr>
          </w:p>
        </w:tc>
        <w:tc>
          <w:tcPr>
            <w:tcW w:w="7797" w:type="dxa"/>
            <w:gridSpan w:val="10"/>
          </w:tcPr>
          <w:p w14:paraId="5524CC4E">
            <w:pPr>
              <w:pStyle w:val="81"/>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7EF7D3D7">
            <w:pPr>
              <w:bidi w:val="0"/>
              <w:rPr>
                <w:rFonts w:hint="eastAsia"/>
                <w:lang w:val="en-US" w:eastAsia="zh-CN"/>
              </w:rPr>
            </w:pPr>
            <w:r>
              <w:rPr>
                <w:rFonts w:hint="eastAsia"/>
                <w:lang w:val="en-US" w:eastAsia="zh-CN"/>
              </w:rPr>
              <w:t>Change#1: R18 ATG is only specified for single carrier case, while some description are not aligned with this point.</w:t>
            </w:r>
          </w:p>
          <w:p w14:paraId="740D7247">
            <w:pPr>
              <w:rPr>
                <w:rFonts w:hint="eastAsia" w:eastAsia="宋体"/>
                <w:lang w:val="en-US" w:eastAsia="zh-CN"/>
              </w:rPr>
            </w:pPr>
            <w:r>
              <w:rPr>
                <w:rFonts w:hint="eastAsia" w:eastAsia="宋体"/>
                <w:lang w:val="en-US" w:eastAsia="zh-CN"/>
              </w:rPr>
              <w:t xml:space="preserve">Change#2: </w:t>
            </w:r>
            <w:r>
              <w:rPr>
                <w:rFonts w:hint="eastAsia"/>
                <w:lang w:val="en-US" w:eastAsia="zh-CN"/>
              </w:rPr>
              <w:t xml:space="preserve">The applicability rules for intra-frequency measurement wo gap and intra-frequency measurement w gap is missing </w:t>
            </w:r>
            <w:r>
              <w:rPr>
                <w:rFonts w:hint="eastAsia" w:eastAsia="宋体"/>
                <w:i/>
                <w:highlight w:val="none"/>
                <w:lang w:val="en-US" w:eastAsia="zh-CN"/>
              </w:rPr>
              <w:t>.</w:t>
            </w:r>
          </w:p>
          <w:p w14:paraId="6A5287A9">
            <w:pPr>
              <w:pStyle w:val="81"/>
              <w:spacing w:after="0"/>
              <w:rPr>
                <w:rFonts w:hint="default"/>
                <w:lang w:val="en-US" w:eastAsia="zh-CN"/>
              </w:rPr>
            </w:pP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81"/>
              <w:spacing w:after="0"/>
              <w:rPr>
                <w:b/>
                <w:i/>
                <w:sz w:val="8"/>
                <w:szCs w:val="8"/>
              </w:rPr>
            </w:pPr>
          </w:p>
        </w:tc>
        <w:tc>
          <w:tcPr>
            <w:tcW w:w="6946" w:type="dxa"/>
            <w:gridSpan w:val="9"/>
            <w:tcBorders>
              <w:right w:val="single" w:color="auto" w:sz="4" w:space="0"/>
            </w:tcBorders>
          </w:tcPr>
          <w:p w14:paraId="365DEF04">
            <w:pPr>
              <w:pStyle w:val="81"/>
              <w:spacing w:after="0"/>
              <w:rPr>
                <w:sz w:val="8"/>
                <w:szCs w:val="8"/>
              </w:rPr>
            </w:pPr>
          </w:p>
        </w:tc>
      </w:tr>
      <w:tr w14:paraId="21016551">
        <w:tblPrEx>
          <w:tblCellMar>
            <w:top w:w="0" w:type="dxa"/>
            <w:left w:w="42" w:type="dxa"/>
            <w:bottom w:w="0" w:type="dxa"/>
            <w:right w:w="42" w:type="dxa"/>
          </w:tblCellMar>
        </w:tblPrEx>
        <w:tc>
          <w:tcPr>
            <w:tcW w:w="2694" w:type="dxa"/>
            <w:gridSpan w:val="2"/>
            <w:tcBorders>
              <w:left w:val="single" w:color="auto" w:sz="4" w:space="0"/>
            </w:tcBorders>
          </w:tcPr>
          <w:p w14:paraId="49433147">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453C5B79">
            <w:pPr>
              <w:bidi w:val="0"/>
              <w:rPr>
                <w:rFonts w:hint="default"/>
                <w:lang w:val="en-US" w:eastAsia="zh-CN"/>
              </w:rPr>
            </w:pPr>
            <w:r>
              <w:rPr>
                <w:rFonts w:hint="eastAsia"/>
                <w:lang w:val="en-US" w:eastAsia="zh-CN"/>
              </w:rPr>
              <w:t xml:space="preserve">Change#1: R18 ATG is only specified for single carrier case, while some description are not aligned with this point. Revise this. </w:t>
            </w:r>
          </w:p>
          <w:p w14:paraId="18F06162">
            <w:pPr>
              <w:rPr>
                <w:rFonts w:hint="eastAsia" w:eastAsia="宋体"/>
                <w:lang w:val="en-US" w:eastAsia="zh-CN"/>
              </w:rPr>
            </w:pPr>
            <w:r>
              <w:rPr>
                <w:rFonts w:hint="eastAsia" w:eastAsia="宋体"/>
                <w:lang w:val="en-US" w:eastAsia="zh-CN"/>
              </w:rPr>
              <w:t xml:space="preserve">Change#2: </w:t>
            </w:r>
            <w:r>
              <w:rPr>
                <w:rFonts w:hint="eastAsia"/>
                <w:lang w:val="en-US" w:eastAsia="zh-CN"/>
              </w:rPr>
              <w:t>Add the applicability rules for intra-frequency measurement wo gap and intra-frequency measurement w gap</w:t>
            </w:r>
            <w:r>
              <w:rPr>
                <w:rFonts w:hint="eastAsia" w:eastAsia="宋体"/>
                <w:i/>
                <w:highlight w:val="none"/>
                <w:lang w:val="en-US" w:eastAsia="zh-CN"/>
              </w:rPr>
              <w:t>.</w:t>
            </w:r>
          </w:p>
          <w:p w14:paraId="52C0813F">
            <w:pPr>
              <w:pStyle w:val="81"/>
              <w:spacing w:after="0"/>
              <w:rPr>
                <w:rFonts w:hint="eastAsia" w:eastAsia="宋体"/>
                <w:lang w:val="en-US" w:eastAsia="zh-CN"/>
              </w:rPr>
            </w:pP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81"/>
              <w:spacing w:after="0"/>
              <w:rPr>
                <w:b/>
                <w:i/>
                <w:sz w:val="8"/>
                <w:szCs w:val="8"/>
              </w:rPr>
            </w:pPr>
          </w:p>
        </w:tc>
        <w:tc>
          <w:tcPr>
            <w:tcW w:w="6946" w:type="dxa"/>
            <w:gridSpan w:val="9"/>
            <w:tcBorders>
              <w:right w:val="single" w:color="auto" w:sz="4" w:space="0"/>
            </w:tcBorders>
          </w:tcPr>
          <w:p w14:paraId="71C4A204">
            <w:pPr>
              <w:pStyle w:val="81"/>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81"/>
              <w:spacing w:after="0"/>
              <w:rPr>
                <w:rFonts w:hint="default" w:eastAsia="宋体"/>
                <w:lang w:val="en-US" w:eastAsia="zh-CN"/>
              </w:rPr>
            </w:pPr>
            <w:r>
              <w:rPr>
                <w:rFonts w:hint="eastAsia"/>
                <w:lang w:val="en-US" w:eastAsia="zh-CN"/>
              </w:rPr>
              <w:t>The spec is not accurate.</w:t>
            </w:r>
          </w:p>
        </w:tc>
      </w:tr>
      <w:tr w14:paraId="034AF533">
        <w:tblPrEx>
          <w:tblCellMar>
            <w:top w:w="0" w:type="dxa"/>
            <w:left w:w="42" w:type="dxa"/>
            <w:bottom w:w="0" w:type="dxa"/>
            <w:right w:w="42" w:type="dxa"/>
          </w:tblCellMar>
        </w:tblPrEx>
        <w:tc>
          <w:tcPr>
            <w:tcW w:w="2694" w:type="dxa"/>
            <w:gridSpan w:val="2"/>
          </w:tcPr>
          <w:p w14:paraId="39D9EB5B">
            <w:pPr>
              <w:pStyle w:val="81"/>
              <w:spacing w:after="0"/>
              <w:rPr>
                <w:b/>
                <w:i/>
                <w:sz w:val="8"/>
                <w:szCs w:val="8"/>
              </w:rPr>
            </w:pPr>
          </w:p>
        </w:tc>
        <w:tc>
          <w:tcPr>
            <w:tcW w:w="6946" w:type="dxa"/>
            <w:gridSpan w:val="9"/>
          </w:tcPr>
          <w:p w14:paraId="7826CB1C">
            <w:pPr>
              <w:pStyle w:val="81"/>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81"/>
              <w:spacing w:after="0"/>
              <w:rPr>
                <w:rFonts w:hint="default" w:eastAsia="宋体"/>
                <w:lang w:val="en-US" w:eastAsia="zh-CN"/>
              </w:rPr>
            </w:pPr>
            <w:r>
              <w:rPr>
                <w:rFonts w:hint="eastAsia"/>
                <w:lang w:val="en-US" w:eastAsia="zh-CN"/>
              </w:rPr>
              <w:t>9.1D.2, 9.2D.1</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81"/>
              <w:spacing w:after="0"/>
              <w:rPr>
                <w:b/>
                <w:i/>
                <w:sz w:val="8"/>
                <w:szCs w:val="8"/>
              </w:rPr>
            </w:pPr>
          </w:p>
        </w:tc>
        <w:tc>
          <w:tcPr>
            <w:tcW w:w="6946" w:type="dxa"/>
            <w:gridSpan w:val="9"/>
            <w:tcBorders>
              <w:right w:val="single" w:color="auto" w:sz="4" w:space="0"/>
            </w:tcBorders>
          </w:tcPr>
          <w:p w14:paraId="0898542D">
            <w:pPr>
              <w:pStyle w:val="81"/>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81"/>
              <w:spacing w:after="0"/>
              <w:jc w:val="center"/>
              <w:rPr>
                <w:b/>
                <w:caps/>
              </w:rPr>
            </w:pPr>
            <w:r>
              <w:rPr>
                <w:b/>
                <w:caps/>
              </w:rPr>
              <w:t>N</w:t>
            </w:r>
          </w:p>
        </w:tc>
        <w:tc>
          <w:tcPr>
            <w:tcW w:w="2977" w:type="dxa"/>
            <w:gridSpan w:val="4"/>
          </w:tcPr>
          <w:p w14:paraId="304CCBCB">
            <w:pPr>
              <w:pStyle w:val="81"/>
              <w:tabs>
                <w:tab w:val="right" w:pos="2893"/>
              </w:tabs>
              <w:spacing w:after="0"/>
            </w:pPr>
          </w:p>
        </w:tc>
        <w:tc>
          <w:tcPr>
            <w:tcW w:w="3401" w:type="dxa"/>
            <w:gridSpan w:val="3"/>
            <w:tcBorders>
              <w:right w:val="single" w:color="auto" w:sz="4" w:space="0"/>
            </w:tcBorders>
            <w:shd w:val="clear" w:color="FFFF00" w:fill="auto"/>
          </w:tcPr>
          <w:p w14:paraId="0D32F54E">
            <w:pPr>
              <w:pStyle w:val="81"/>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81"/>
              <w:spacing w:after="0"/>
              <w:jc w:val="center"/>
              <w:rPr>
                <w:b/>
                <w:caps/>
              </w:rPr>
            </w:pPr>
            <w:r>
              <w:rPr>
                <w:b/>
                <w:caps/>
              </w:rPr>
              <w:t>x</w:t>
            </w:r>
          </w:p>
        </w:tc>
        <w:tc>
          <w:tcPr>
            <w:tcW w:w="2977" w:type="dxa"/>
            <w:gridSpan w:val="4"/>
          </w:tcPr>
          <w:p w14:paraId="7DB274D8">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81"/>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81"/>
              <w:spacing w:after="0"/>
              <w:jc w:val="center"/>
              <w:rPr>
                <w:b/>
                <w:caps/>
              </w:rPr>
            </w:pPr>
            <w:r>
              <w:rPr>
                <w:b/>
                <w:caps/>
              </w:rPr>
              <w:t>x</w:t>
            </w:r>
          </w:p>
        </w:tc>
        <w:tc>
          <w:tcPr>
            <w:tcW w:w="2977" w:type="dxa"/>
            <w:gridSpan w:val="4"/>
          </w:tcPr>
          <w:p w14:paraId="1A4306D9">
            <w:pPr>
              <w:pStyle w:val="81"/>
              <w:spacing w:after="0"/>
            </w:pPr>
            <w:r>
              <w:t xml:space="preserve"> Test specifications</w:t>
            </w:r>
          </w:p>
        </w:tc>
        <w:tc>
          <w:tcPr>
            <w:tcW w:w="3401" w:type="dxa"/>
            <w:gridSpan w:val="3"/>
            <w:tcBorders>
              <w:right w:val="single" w:color="auto" w:sz="4" w:space="0"/>
            </w:tcBorders>
            <w:shd w:val="pct30" w:color="FFFF00" w:fill="auto"/>
          </w:tcPr>
          <w:p w14:paraId="186A633D">
            <w:pPr>
              <w:pStyle w:val="81"/>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81"/>
              <w:spacing w:after="0"/>
              <w:jc w:val="center"/>
              <w:rPr>
                <w:b/>
                <w:caps/>
              </w:rPr>
            </w:pPr>
            <w:r>
              <w:rPr>
                <w:b/>
                <w:caps/>
              </w:rPr>
              <w:t>x</w:t>
            </w:r>
          </w:p>
        </w:tc>
        <w:tc>
          <w:tcPr>
            <w:tcW w:w="2977" w:type="dxa"/>
            <w:gridSpan w:val="4"/>
          </w:tcPr>
          <w:p w14:paraId="1B4FF921">
            <w:pPr>
              <w:pStyle w:val="81"/>
              <w:spacing w:after="0"/>
            </w:pPr>
            <w:r>
              <w:t xml:space="preserve"> O&amp;M Specifications</w:t>
            </w:r>
          </w:p>
        </w:tc>
        <w:tc>
          <w:tcPr>
            <w:tcW w:w="3401" w:type="dxa"/>
            <w:gridSpan w:val="3"/>
            <w:tcBorders>
              <w:right w:val="single" w:color="auto" w:sz="4" w:space="0"/>
            </w:tcBorders>
            <w:shd w:val="pct30" w:color="FFFF00" w:fill="auto"/>
          </w:tcPr>
          <w:p w14:paraId="66152F5E">
            <w:pPr>
              <w:pStyle w:val="81"/>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81"/>
              <w:spacing w:after="0"/>
              <w:rPr>
                <w:b/>
                <w:i/>
              </w:rPr>
            </w:pPr>
          </w:p>
        </w:tc>
        <w:tc>
          <w:tcPr>
            <w:tcW w:w="6946" w:type="dxa"/>
            <w:gridSpan w:val="9"/>
            <w:tcBorders>
              <w:right w:val="single" w:color="auto" w:sz="4" w:space="0"/>
            </w:tcBorders>
          </w:tcPr>
          <w:p w14:paraId="4D84207F">
            <w:pPr>
              <w:pStyle w:val="81"/>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81"/>
              <w:spacing w:after="0"/>
              <w:ind w:left="100"/>
            </w:pP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81"/>
              <w:spacing w:after="0"/>
              <w:ind w:left="100"/>
              <w:rPr>
                <w:sz w:val="8"/>
                <w:szCs w:val="8"/>
              </w:rPr>
            </w:pPr>
          </w:p>
        </w:tc>
      </w:tr>
      <w:tr w14:paraId="6C3DBC81">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6E23B456">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81"/>
              <w:spacing w:after="0"/>
              <w:ind w:left="100"/>
            </w:pPr>
          </w:p>
        </w:tc>
      </w:tr>
    </w:tbl>
    <w:p w14:paraId="17759814">
      <w:pPr>
        <w:pStyle w:val="81"/>
        <w:spacing w:after="0"/>
        <w:rPr>
          <w:sz w:val="8"/>
          <w:szCs w:val="8"/>
        </w:rPr>
      </w:pPr>
    </w:p>
    <w:p w14:paraId="2F9212F8">
      <w:pPr>
        <w:sectPr>
          <w:headerReference r:id="rId4" w:type="even"/>
          <w:footnotePr>
            <w:numRestart w:val="eachSect"/>
          </w:footnotePr>
          <w:pgSz w:w="11907" w:h="16840"/>
          <w:pgMar w:top="1418" w:right="1134" w:bottom="1134" w:left="1134" w:header="680" w:footer="567" w:gutter="0"/>
          <w:cols w:space="720" w:num="1"/>
        </w:sectPr>
      </w:pPr>
    </w:p>
    <w:p w14:paraId="4A05B9C6">
      <w:pPr>
        <w:pStyle w:val="83"/>
      </w:pPr>
      <w:r>
        <w:t>==============</w:t>
      </w:r>
      <w:r>
        <w:rPr>
          <w:rFonts w:hint="eastAsia"/>
          <w:lang w:val="en-US" w:eastAsia="zh-CN"/>
        </w:rPr>
        <w:t>Start of</w:t>
      </w:r>
      <w:r>
        <w:t xml:space="preserve"> change</w:t>
      </w:r>
      <w:r>
        <w:rPr>
          <w:rFonts w:hint="eastAsia"/>
          <w:lang w:val="en-US" w:eastAsia="zh-CN"/>
        </w:rPr>
        <w:t xml:space="preserve"> #1</w:t>
      </w:r>
      <w:r>
        <w:t>==============</w:t>
      </w:r>
    </w:p>
    <w:p w14:paraId="5A2DDFAD">
      <w:pPr>
        <w:pStyle w:val="4"/>
        <w:rPr>
          <w:lang w:eastAsia="zh-CN"/>
        </w:rPr>
      </w:pPr>
      <w:r>
        <w:t>9.1</w:t>
      </w:r>
      <w:r>
        <w:rPr>
          <w:lang w:eastAsia="zh-CN"/>
        </w:rPr>
        <w:t>D</w:t>
      </w:r>
      <w:r>
        <w:t>.2</w:t>
      </w:r>
      <w:r>
        <w:tab/>
      </w:r>
      <w:r>
        <w:t>Measurement gap</w:t>
      </w:r>
    </w:p>
    <w:p w14:paraId="2CEAD2D4">
      <w:r>
        <w:t xml:space="preserve">If the UE requires </w:t>
      </w:r>
      <w:r>
        <w:rPr>
          <w:lang w:eastAsia="zh-CN"/>
        </w:rPr>
        <w:t>measurement gap</w:t>
      </w:r>
      <w:r>
        <w:t>s to identify and measure intra-frequency cells and/or inter-frequency cells, and the UE does not support independent measurement gap patterns for different frequency ranges as specified in table 5.1-1 in [18, 19, 20],</w:t>
      </w:r>
      <w:r>
        <w:rPr>
          <w:rFonts w:cs="v4.2.0"/>
        </w:rPr>
        <w:t xml:space="preserve"> in order for the requirements in the following clauses to apply the network must provide </w:t>
      </w:r>
      <w:r>
        <w:t>a single per-UE measurement gap pattern for concurrent monitoring of all frequency layers.</w:t>
      </w:r>
    </w:p>
    <w:p w14:paraId="66F59680">
      <w:pPr>
        <w:rPr>
          <w:lang w:eastAsia="zh-CN"/>
        </w:rPr>
      </w:pPr>
      <w:r>
        <w:t>During the per-UE measurement gap</w:t>
      </w:r>
      <w:r>
        <w:rPr>
          <w:highlight w:val="none"/>
        </w:rPr>
        <w:t>s</w:t>
      </w:r>
      <w:r>
        <w:t xml:space="preserve"> an ATG UE, operating under SA</w:t>
      </w:r>
      <w:r>
        <w:rPr>
          <w:lang w:eastAsia="zh-CN"/>
        </w:rPr>
        <w:t xml:space="preserve"> single carrier mode,</w:t>
      </w:r>
      <w:r>
        <w:t xml:space="preserve"> is not required to conduct reception/transmission from/to the corresponding NR serving cell</w:t>
      </w:r>
      <w:del w:id="0" w:author="ZTE-Chenchen" w:date="2026-01-30T20:53:51Z">
        <w:r>
          <w:rPr>
            <w:highlight w:val="none"/>
          </w:rPr>
          <w:delText>s</w:delText>
        </w:r>
      </w:del>
      <w:r>
        <w:t xml:space="preserve"> except the reception of signals used for RRM measurement(s).</w:t>
      </w:r>
    </w:p>
    <w:p w14:paraId="769BA0DC">
      <w:pPr>
        <w:rPr>
          <w:rFonts w:eastAsia="MS Mincho"/>
          <w:lang w:eastAsia="ja-JP"/>
        </w:rPr>
      </w:pPr>
      <w:r>
        <w:t>UEs shall support the measurement gap patterns listed in table 9.1</w:t>
      </w:r>
      <w:r>
        <w:rPr>
          <w:lang w:eastAsia="zh-CN"/>
        </w:rPr>
        <w:t>D</w:t>
      </w:r>
      <w:r>
        <w:t xml:space="preserve">.2-1 based on the applicability specified in </w:t>
      </w:r>
      <w:r>
        <w:rPr>
          <w:rFonts w:hint="eastAsia"/>
          <w:lang w:eastAsia="zh-CN"/>
        </w:rPr>
        <w:t>table</w:t>
      </w:r>
      <w:r>
        <w:t xml:space="preserve"> </w:t>
      </w:r>
      <w:r>
        <w:rPr>
          <w:snapToGrid w:val="0"/>
        </w:rPr>
        <w:t>9.1</w:t>
      </w:r>
      <w:r>
        <w:rPr>
          <w:snapToGrid w:val="0"/>
          <w:lang w:eastAsia="zh-CN"/>
        </w:rPr>
        <w:t>D</w:t>
      </w:r>
      <w:r>
        <w:rPr>
          <w:snapToGrid w:val="0"/>
        </w:rPr>
        <w:t>.2-</w:t>
      </w:r>
      <w:r>
        <w:rPr>
          <w:rFonts w:hint="eastAsia"/>
          <w:snapToGrid w:val="0"/>
          <w:lang w:eastAsia="zh-CN"/>
        </w:rPr>
        <w:t>3</w:t>
      </w:r>
      <w:r>
        <w:t>.</w:t>
      </w:r>
      <w:r>
        <w:rPr>
          <w:rFonts w:eastAsia="MS Mincho"/>
          <w:lang w:eastAsia="ja-JP"/>
        </w:rPr>
        <w:t xml:space="preserve"> UE determines measurement gap timing based on gap offset configuration and measurement gap timing advance configuration provided by higher layer signalling as specified in </w:t>
      </w:r>
      <w:r>
        <w:t>TS 38.331</w:t>
      </w:r>
      <w:r>
        <w:rPr>
          <w:rFonts w:eastAsia="MS Mincho"/>
          <w:lang w:eastAsia="ja-JP"/>
        </w:rPr>
        <w:t>.</w:t>
      </w:r>
    </w:p>
    <w:p w14:paraId="4AE87176">
      <w:pPr>
        <w:pStyle w:val="55"/>
      </w:pPr>
      <w:r>
        <w:t>Table 9.1</w:t>
      </w:r>
      <w:r>
        <w:rPr>
          <w:lang w:eastAsia="zh-CN"/>
        </w:rPr>
        <w:t>D</w:t>
      </w:r>
      <w:r>
        <w:t>.2-1: Gap Pattern Configurations</w:t>
      </w:r>
    </w:p>
    <w:tbl>
      <w:tblPr>
        <w:tblStyle w:val="42"/>
        <w:tblW w:w="424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490"/>
        <w:gridCol w:w="3428"/>
        <w:gridCol w:w="3387"/>
      </w:tblGrid>
      <w:tr w14:paraId="22C0E6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52559F73">
            <w:pPr>
              <w:pStyle w:val="51"/>
            </w:pPr>
            <w:r>
              <w:t>Gap Pattern Id</w:t>
            </w:r>
          </w:p>
        </w:tc>
        <w:tc>
          <w:tcPr>
            <w:tcW w:w="2064" w:type="pct"/>
            <w:tcBorders>
              <w:top w:val="single" w:color="auto" w:sz="4" w:space="0"/>
              <w:left w:val="single" w:color="auto" w:sz="4" w:space="0"/>
              <w:bottom w:val="single" w:color="auto" w:sz="4" w:space="0"/>
              <w:right w:val="single" w:color="auto" w:sz="4" w:space="0"/>
            </w:tcBorders>
          </w:tcPr>
          <w:p w14:paraId="267CB05E">
            <w:pPr>
              <w:pStyle w:val="51"/>
            </w:pPr>
            <w:r>
              <w:rPr>
                <w:lang w:eastAsia="zh-CN"/>
              </w:rPr>
              <w:t xml:space="preserve">Measurement </w:t>
            </w:r>
            <w:r>
              <w:t>Gap Length</w:t>
            </w:r>
          </w:p>
          <w:p w14:paraId="39D2D89E">
            <w:pPr>
              <w:pStyle w:val="51"/>
            </w:pPr>
            <w:r>
              <w:t>(MGL, ms)</w:t>
            </w:r>
          </w:p>
        </w:tc>
        <w:tc>
          <w:tcPr>
            <w:tcW w:w="2039" w:type="pct"/>
            <w:tcBorders>
              <w:top w:val="single" w:color="auto" w:sz="4" w:space="0"/>
              <w:left w:val="single" w:color="auto" w:sz="4" w:space="0"/>
              <w:bottom w:val="single" w:color="auto" w:sz="4" w:space="0"/>
              <w:right w:val="single" w:color="auto" w:sz="4" w:space="0"/>
            </w:tcBorders>
          </w:tcPr>
          <w:p w14:paraId="68CCF711">
            <w:pPr>
              <w:pStyle w:val="51"/>
            </w:pPr>
            <w:r>
              <w:rPr>
                <w:lang w:eastAsia="zh-CN"/>
              </w:rPr>
              <w:t>Measurement</w:t>
            </w:r>
            <w:r>
              <w:t xml:space="preserve"> Gap Repetition Period</w:t>
            </w:r>
          </w:p>
          <w:p w14:paraId="1A2F46EE">
            <w:pPr>
              <w:pStyle w:val="51"/>
            </w:pPr>
            <w:r>
              <w:t>(MGRP, ms)</w:t>
            </w:r>
          </w:p>
        </w:tc>
      </w:tr>
      <w:tr w14:paraId="4614B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5D5EB9B0">
            <w:pPr>
              <w:pStyle w:val="52"/>
              <w:rPr>
                <w:snapToGrid w:val="0"/>
              </w:rPr>
            </w:pPr>
            <w:r>
              <w:rPr>
                <w:snapToGrid w:val="0"/>
              </w:rPr>
              <w:t>0</w:t>
            </w:r>
          </w:p>
        </w:tc>
        <w:tc>
          <w:tcPr>
            <w:tcW w:w="2064" w:type="pct"/>
            <w:tcBorders>
              <w:top w:val="single" w:color="auto" w:sz="4" w:space="0"/>
              <w:left w:val="single" w:color="auto" w:sz="4" w:space="0"/>
              <w:bottom w:val="single" w:color="auto" w:sz="4" w:space="0"/>
              <w:right w:val="single" w:color="auto" w:sz="4" w:space="0"/>
            </w:tcBorders>
          </w:tcPr>
          <w:p w14:paraId="16068748">
            <w:pPr>
              <w:pStyle w:val="52"/>
              <w:rPr>
                <w:snapToGrid w:val="0"/>
              </w:rPr>
            </w:pPr>
            <w:r>
              <w:rPr>
                <w:snapToGrid w:val="0"/>
              </w:rPr>
              <w:t>6</w:t>
            </w:r>
          </w:p>
        </w:tc>
        <w:tc>
          <w:tcPr>
            <w:tcW w:w="2039" w:type="pct"/>
            <w:tcBorders>
              <w:top w:val="single" w:color="auto" w:sz="4" w:space="0"/>
              <w:left w:val="single" w:color="auto" w:sz="4" w:space="0"/>
              <w:bottom w:val="single" w:color="auto" w:sz="4" w:space="0"/>
              <w:right w:val="single" w:color="auto" w:sz="4" w:space="0"/>
            </w:tcBorders>
          </w:tcPr>
          <w:p w14:paraId="13808FAE">
            <w:pPr>
              <w:pStyle w:val="52"/>
              <w:rPr>
                <w:snapToGrid w:val="0"/>
              </w:rPr>
            </w:pPr>
            <w:r>
              <w:rPr>
                <w:snapToGrid w:val="0"/>
              </w:rPr>
              <w:t>40</w:t>
            </w:r>
          </w:p>
        </w:tc>
      </w:tr>
      <w:tr w14:paraId="6559F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23584FCB">
            <w:pPr>
              <w:pStyle w:val="52"/>
              <w:rPr>
                <w:snapToGrid w:val="0"/>
              </w:rPr>
            </w:pPr>
            <w:r>
              <w:rPr>
                <w:snapToGrid w:val="0"/>
              </w:rPr>
              <w:t>1</w:t>
            </w:r>
          </w:p>
        </w:tc>
        <w:tc>
          <w:tcPr>
            <w:tcW w:w="2064" w:type="pct"/>
            <w:tcBorders>
              <w:top w:val="single" w:color="auto" w:sz="4" w:space="0"/>
              <w:left w:val="single" w:color="auto" w:sz="4" w:space="0"/>
              <w:bottom w:val="single" w:color="auto" w:sz="4" w:space="0"/>
              <w:right w:val="single" w:color="auto" w:sz="4" w:space="0"/>
            </w:tcBorders>
          </w:tcPr>
          <w:p w14:paraId="0DF9E9D4">
            <w:pPr>
              <w:pStyle w:val="52"/>
              <w:rPr>
                <w:snapToGrid w:val="0"/>
              </w:rPr>
            </w:pPr>
            <w:r>
              <w:rPr>
                <w:snapToGrid w:val="0"/>
              </w:rPr>
              <w:t>6</w:t>
            </w:r>
          </w:p>
        </w:tc>
        <w:tc>
          <w:tcPr>
            <w:tcW w:w="2039" w:type="pct"/>
            <w:tcBorders>
              <w:top w:val="single" w:color="auto" w:sz="4" w:space="0"/>
              <w:left w:val="single" w:color="auto" w:sz="4" w:space="0"/>
              <w:bottom w:val="single" w:color="auto" w:sz="4" w:space="0"/>
              <w:right w:val="single" w:color="auto" w:sz="4" w:space="0"/>
            </w:tcBorders>
          </w:tcPr>
          <w:p w14:paraId="478C1DA4">
            <w:pPr>
              <w:pStyle w:val="52"/>
              <w:rPr>
                <w:snapToGrid w:val="0"/>
              </w:rPr>
            </w:pPr>
            <w:r>
              <w:rPr>
                <w:snapToGrid w:val="0"/>
              </w:rPr>
              <w:t>80</w:t>
            </w:r>
          </w:p>
        </w:tc>
      </w:tr>
      <w:tr w14:paraId="1A2C5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482C8E96">
            <w:pPr>
              <w:pStyle w:val="52"/>
              <w:rPr>
                <w:snapToGrid w:val="0"/>
              </w:rPr>
            </w:pPr>
            <w:r>
              <w:rPr>
                <w:snapToGrid w:val="0"/>
                <w:lang w:eastAsia="ko-KR"/>
              </w:rPr>
              <w:t>2</w:t>
            </w:r>
          </w:p>
        </w:tc>
        <w:tc>
          <w:tcPr>
            <w:tcW w:w="2064" w:type="pct"/>
            <w:tcBorders>
              <w:top w:val="single" w:color="auto" w:sz="4" w:space="0"/>
              <w:left w:val="single" w:color="auto" w:sz="4" w:space="0"/>
              <w:bottom w:val="single" w:color="auto" w:sz="4" w:space="0"/>
              <w:right w:val="single" w:color="auto" w:sz="4" w:space="0"/>
            </w:tcBorders>
          </w:tcPr>
          <w:p w14:paraId="7066DF77">
            <w:pPr>
              <w:pStyle w:val="52"/>
              <w:rPr>
                <w:snapToGrid w:val="0"/>
              </w:rPr>
            </w:pPr>
            <w:r>
              <w:rPr>
                <w:snapToGrid w:val="0"/>
                <w:lang w:eastAsia="ko-KR"/>
              </w:rPr>
              <w:t>3</w:t>
            </w:r>
          </w:p>
        </w:tc>
        <w:tc>
          <w:tcPr>
            <w:tcW w:w="2039" w:type="pct"/>
            <w:tcBorders>
              <w:top w:val="single" w:color="auto" w:sz="4" w:space="0"/>
              <w:left w:val="single" w:color="auto" w:sz="4" w:space="0"/>
              <w:bottom w:val="single" w:color="auto" w:sz="4" w:space="0"/>
              <w:right w:val="single" w:color="auto" w:sz="4" w:space="0"/>
            </w:tcBorders>
          </w:tcPr>
          <w:p w14:paraId="3597C34E">
            <w:pPr>
              <w:pStyle w:val="52"/>
              <w:rPr>
                <w:snapToGrid w:val="0"/>
              </w:rPr>
            </w:pPr>
            <w:r>
              <w:rPr>
                <w:snapToGrid w:val="0"/>
                <w:lang w:eastAsia="ko-KR"/>
              </w:rPr>
              <w:t>40</w:t>
            </w:r>
          </w:p>
        </w:tc>
      </w:tr>
      <w:tr w14:paraId="0E4DFB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311AA9BB">
            <w:pPr>
              <w:pStyle w:val="52"/>
              <w:rPr>
                <w:snapToGrid w:val="0"/>
              </w:rPr>
            </w:pPr>
            <w:r>
              <w:rPr>
                <w:snapToGrid w:val="0"/>
                <w:lang w:eastAsia="ko-KR"/>
              </w:rPr>
              <w:t>3</w:t>
            </w:r>
          </w:p>
        </w:tc>
        <w:tc>
          <w:tcPr>
            <w:tcW w:w="2064" w:type="pct"/>
            <w:tcBorders>
              <w:top w:val="single" w:color="auto" w:sz="4" w:space="0"/>
              <w:left w:val="single" w:color="auto" w:sz="4" w:space="0"/>
              <w:bottom w:val="single" w:color="auto" w:sz="4" w:space="0"/>
              <w:right w:val="single" w:color="auto" w:sz="4" w:space="0"/>
            </w:tcBorders>
          </w:tcPr>
          <w:p w14:paraId="66EE3E7A">
            <w:pPr>
              <w:pStyle w:val="52"/>
              <w:rPr>
                <w:snapToGrid w:val="0"/>
              </w:rPr>
            </w:pPr>
            <w:r>
              <w:rPr>
                <w:snapToGrid w:val="0"/>
                <w:lang w:eastAsia="ko-KR"/>
              </w:rPr>
              <w:t>3</w:t>
            </w:r>
          </w:p>
        </w:tc>
        <w:tc>
          <w:tcPr>
            <w:tcW w:w="2039" w:type="pct"/>
            <w:tcBorders>
              <w:top w:val="single" w:color="auto" w:sz="4" w:space="0"/>
              <w:left w:val="single" w:color="auto" w:sz="4" w:space="0"/>
              <w:bottom w:val="single" w:color="auto" w:sz="4" w:space="0"/>
              <w:right w:val="single" w:color="auto" w:sz="4" w:space="0"/>
            </w:tcBorders>
          </w:tcPr>
          <w:p w14:paraId="5CDFBC77">
            <w:pPr>
              <w:pStyle w:val="52"/>
              <w:rPr>
                <w:snapToGrid w:val="0"/>
              </w:rPr>
            </w:pPr>
            <w:r>
              <w:rPr>
                <w:snapToGrid w:val="0"/>
                <w:lang w:eastAsia="ko-KR"/>
              </w:rPr>
              <w:t>80</w:t>
            </w:r>
          </w:p>
        </w:tc>
      </w:tr>
      <w:tr w14:paraId="71079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60B6F26F">
            <w:pPr>
              <w:pStyle w:val="52"/>
              <w:rPr>
                <w:snapToGrid w:val="0"/>
                <w:lang w:eastAsia="ko-KR"/>
              </w:rPr>
            </w:pPr>
            <w:r>
              <w:rPr>
                <w:snapToGrid w:val="0"/>
                <w:lang w:eastAsia="ko-KR"/>
              </w:rPr>
              <w:t>4</w:t>
            </w:r>
          </w:p>
        </w:tc>
        <w:tc>
          <w:tcPr>
            <w:tcW w:w="2064" w:type="pct"/>
            <w:tcBorders>
              <w:top w:val="single" w:color="auto" w:sz="4" w:space="0"/>
              <w:left w:val="single" w:color="auto" w:sz="4" w:space="0"/>
              <w:bottom w:val="single" w:color="auto" w:sz="4" w:space="0"/>
              <w:right w:val="single" w:color="auto" w:sz="4" w:space="0"/>
            </w:tcBorders>
          </w:tcPr>
          <w:p w14:paraId="657F7359">
            <w:pPr>
              <w:pStyle w:val="52"/>
              <w:rPr>
                <w:snapToGrid w:val="0"/>
                <w:lang w:eastAsia="ko-KR"/>
              </w:rPr>
            </w:pPr>
            <w:r>
              <w:rPr>
                <w:snapToGrid w:val="0"/>
                <w:lang w:eastAsia="ko-KR"/>
              </w:rPr>
              <w:t>6</w:t>
            </w:r>
          </w:p>
        </w:tc>
        <w:tc>
          <w:tcPr>
            <w:tcW w:w="2039" w:type="pct"/>
            <w:tcBorders>
              <w:top w:val="single" w:color="auto" w:sz="4" w:space="0"/>
              <w:left w:val="single" w:color="auto" w:sz="4" w:space="0"/>
              <w:bottom w:val="single" w:color="auto" w:sz="4" w:space="0"/>
              <w:right w:val="single" w:color="auto" w:sz="4" w:space="0"/>
            </w:tcBorders>
          </w:tcPr>
          <w:p w14:paraId="6579142B">
            <w:pPr>
              <w:pStyle w:val="52"/>
              <w:rPr>
                <w:snapToGrid w:val="0"/>
                <w:lang w:eastAsia="ko-KR"/>
              </w:rPr>
            </w:pPr>
            <w:r>
              <w:rPr>
                <w:snapToGrid w:val="0"/>
                <w:lang w:eastAsia="ko-KR"/>
              </w:rPr>
              <w:t>20</w:t>
            </w:r>
          </w:p>
        </w:tc>
      </w:tr>
      <w:tr w14:paraId="425C3D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4A902E1B">
            <w:pPr>
              <w:pStyle w:val="52"/>
              <w:rPr>
                <w:snapToGrid w:val="0"/>
                <w:lang w:eastAsia="ko-KR"/>
              </w:rPr>
            </w:pPr>
            <w:r>
              <w:rPr>
                <w:snapToGrid w:val="0"/>
                <w:lang w:eastAsia="ko-KR"/>
              </w:rPr>
              <w:t>5</w:t>
            </w:r>
          </w:p>
        </w:tc>
        <w:tc>
          <w:tcPr>
            <w:tcW w:w="2064" w:type="pct"/>
            <w:tcBorders>
              <w:top w:val="single" w:color="auto" w:sz="4" w:space="0"/>
              <w:left w:val="single" w:color="auto" w:sz="4" w:space="0"/>
              <w:bottom w:val="single" w:color="auto" w:sz="4" w:space="0"/>
              <w:right w:val="single" w:color="auto" w:sz="4" w:space="0"/>
            </w:tcBorders>
          </w:tcPr>
          <w:p w14:paraId="1845ADEF">
            <w:pPr>
              <w:pStyle w:val="52"/>
              <w:rPr>
                <w:snapToGrid w:val="0"/>
                <w:lang w:eastAsia="ko-KR"/>
              </w:rPr>
            </w:pPr>
            <w:r>
              <w:rPr>
                <w:snapToGrid w:val="0"/>
                <w:lang w:eastAsia="ko-KR"/>
              </w:rPr>
              <w:t>6</w:t>
            </w:r>
          </w:p>
        </w:tc>
        <w:tc>
          <w:tcPr>
            <w:tcW w:w="2039" w:type="pct"/>
            <w:tcBorders>
              <w:top w:val="single" w:color="auto" w:sz="4" w:space="0"/>
              <w:left w:val="single" w:color="auto" w:sz="4" w:space="0"/>
              <w:bottom w:val="single" w:color="auto" w:sz="4" w:space="0"/>
              <w:right w:val="single" w:color="auto" w:sz="4" w:space="0"/>
            </w:tcBorders>
          </w:tcPr>
          <w:p w14:paraId="442E616C">
            <w:pPr>
              <w:pStyle w:val="52"/>
              <w:rPr>
                <w:snapToGrid w:val="0"/>
                <w:lang w:eastAsia="ko-KR"/>
              </w:rPr>
            </w:pPr>
            <w:r>
              <w:rPr>
                <w:snapToGrid w:val="0"/>
                <w:lang w:eastAsia="ko-KR"/>
              </w:rPr>
              <w:t>160</w:t>
            </w:r>
          </w:p>
        </w:tc>
      </w:tr>
      <w:tr w14:paraId="0E1B4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67B16751">
            <w:pPr>
              <w:pStyle w:val="52"/>
              <w:rPr>
                <w:snapToGrid w:val="0"/>
                <w:lang w:eastAsia="ko-KR"/>
              </w:rPr>
            </w:pPr>
            <w:r>
              <w:rPr>
                <w:snapToGrid w:val="0"/>
                <w:lang w:eastAsia="ko-KR"/>
              </w:rPr>
              <w:t>6</w:t>
            </w:r>
          </w:p>
        </w:tc>
        <w:tc>
          <w:tcPr>
            <w:tcW w:w="2064" w:type="pct"/>
            <w:tcBorders>
              <w:top w:val="single" w:color="auto" w:sz="4" w:space="0"/>
              <w:left w:val="single" w:color="auto" w:sz="4" w:space="0"/>
              <w:bottom w:val="single" w:color="auto" w:sz="4" w:space="0"/>
              <w:right w:val="single" w:color="auto" w:sz="4" w:space="0"/>
            </w:tcBorders>
          </w:tcPr>
          <w:p w14:paraId="1BD57142">
            <w:pPr>
              <w:pStyle w:val="52"/>
              <w:rPr>
                <w:snapToGrid w:val="0"/>
                <w:lang w:eastAsia="ko-KR"/>
              </w:rPr>
            </w:pPr>
            <w:r>
              <w:rPr>
                <w:snapToGrid w:val="0"/>
                <w:lang w:eastAsia="ko-KR"/>
              </w:rPr>
              <w:t>4</w:t>
            </w:r>
          </w:p>
        </w:tc>
        <w:tc>
          <w:tcPr>
            <w:tcW w:w="2039" w:type="pct"/>
            <w:tcBorders>
              <w:top w:val="single" w:color="auto" w:sz="4" w:space="0"/>
              <w:left w:val="single" w:color="auto" w:sz="4" w:space="0"/>
              <w:bottom w:val="single" w:color="auto" w:sz="4" w:space="0"/>
              <w:right w:val="single" w:color="auto" w:sz="4" w:space="0"/>
            </w:tcBorders>
          </w:tcPr>
          <w:p w14:paraId="6666BADB">
            <w:pPr>
              <w:pStyle w:val="52"/>
              <w:rPr>
                <w:snapToGrid w:val="0"/>
                <w:lang w:eastAsia="ko-KR"/>
              </w:rPr>
            </w:pPr>
            <w:r>
              <w:rPr>
                <w:snapToGrid w:val="0"/>
              </w:rPr>
              <w:t>20</w:t>
            </w:r>
          </w:p>
        </w:tc>
      </w:tr>
      <w:tr w14:paraId="556F8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469EFD43">
            <w:pPr>
              <w:pStyle w:val="52"/>
              <w:rPr>
                <w:snapToGrid w:val="0"/>
                <w:lang w:eastAsia="ko-KR"/>
              </w:rPr>
            </w:pPr>
            <w:r>
              <w:rPr>
                <w:snapToGrid w:val="0"/>
                <w:lang w:eastAsia="ko-KR"/>
              </w:rPr>
              <w:t>7</w:t>
            </w:r>
          </w:p>
        </w:tc>
        <w:tc>
          <w:tcPr>
            <w:tcW w:w="2064" w:type="pct"/>
            <w:tcBorders>
              <w:top w:val="single" w:color="auto" w:sz="4" w:space="0"/>
              <w:left w:val="single" w:color="auto" w:sz="4" w:space="0"/>
              <w:bottom w:val="single" w:color="auto" w:sz="4" w:space="0"/>
              <w:right w:val="single" w:color="auto" w:sz="4" w:space="0"/>
            </w:tcBorders>
          </w:tcPr>
          <w:p w14:paraId="5C66BE7E">
            <w:pPr>
              <w:pStyle w:val="52"/>
              <w:rPr>
                <w:snapToGrid w:val="0"/>
                <w:lang w:eastAsia="ko-KR"/>
              </w:rPr>
            </w:pPr>
            <w:r>
              <w:rPr>
                <w:snapToGrid w:val="0"/>
                <w:lang w:eastAsia="ko-KR"/>
              </w:rPr>
              <w:t>4</w:t>
            </w:r>
          </w:p>
        </w:tc>
        <w:tc>
          <w:tcPr>
            <w:tcW w:w="2039" w:type="pct"/>
            <w:tcBorders>
              <w:top w:val="single" w:color="auto" w:sz="4" w:space="0"/>
              <w:left w:val="single" w:color="auto" w:sz="4" w:space="0"/>
              <w:bottom w:val="single" w:color="auto" w:sz="4" w:space="0"/>
              <w:right w:val="single" w:color="auto" w:sz="4" w:space="0"/>
            </w:tcBorders>
          </w:tcPr>
          <w:p w14:paraId="6CA6C8BA">
            <w:pPr>
              <w:pStyle w:val="52"/>
              <w:rPr>
                <w:snapToGrid w:val="0"/>
                <w:lang w:eastAsia="ko-KR"/>
              </w:rPr>
            </w:pPr>
            <w:r>
              <w:rPr>
                <w:snapToGrid w:val="0"/>
              </w:rPr>
              <w:t>40</w:t>
            </w:r>
          </w:p>
        </w:tc>
      </w:tr>
      <w:tr w14:paraId="40E1A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32F7C5D5">
            <w:pPr>
              <w:pStyle w:val="52"/>
              <w:rPr>
                <w:snapToGrid w:val="0"/>
                <w:lang w:eastAsia="ko-KR"/>
              </w:rPr>
            </w:pPr>
            <w:r>
              <w:rPr>
                <w:snapToGrid w:val="0"/>
                <w:lang w:eastAsia="ko-KR"/>
              </w:rPr>
              <w:t>8</w:t>
            </w:r>
          </w:p>
        </w:tc>
        <w:tc>
          <w:tcPr>
            <w:tcW w:w="2064" w:type="pct"/>
            <w:tcBorders>
              <w:top w:val="single" w:color="auto" w:sz="4" w:space="0"/>
              <w:left w:val="single" w:color="auto" w:sz="4" w:space="0"/>
              <w:bottom w:val="single" w:color="auto" w:sz="4" w:space="0"/>
              <w:right w:val="single" w:color="auto" w:sz="4" w:space="0"/>
            </w:tcBorders>
          </w:tcPr>
          <w:p w14:paraId="666D4ECC">
            <w:pPr>
              <w:pStyle w:val="52"/>
              <w:rPr>
                <w:snapToGrid w:val="0"/>
                <w:lang w:eastAsia="ko-KR"/>
              </w:rPr>
            </w:pPr>
            <w:r>
              <w:rPr>
                <w:snapToGrid w:val="0"/>
                <w:lang w:eastAsia="ko-KR"/>
              </w:rPr>
              <w:t>4</w:t>
            </w:r>
          </w:p>
        </w:tc>
        <w:tc>
          <w:tcPr>
            <w:tcW w:w="2039" w:type="pct"/>
            <w:tcBorders>
              <w:top w:val="single" w:color="auto" w:sz="4" w:space="0"/>
              <w:left w:val="single" w:color="auto" w:sz="4" w:space="0"/>
              <w:bottom w:val="single" w:color="auto" w:sz="4" w:space="0"/>
              <w:right w:val="single" w:color="auto" w:sz="4" w:space="0"/>
            </w:tcBorders>
          </w:tcPr>
          <w:p w14:paraId="0A74E0D3">
            <w:pPr>
              <w:pStyle w:val="52"/>
              <w:rPr>
                <w:snapToGrid w:val="0"/>
                <w:lang w:eastAsia="ko-KR"/>
              </w:rPr>
            </w:pPr>
            <w:r>
              <w:rPr>
                <w:snapToGrid w:val="0"/>
                <w:lang w:eastAsia="ko-KR"/>
              </w:rPr>
              <w:t>80</w:t>
            </w:r>
          </w:p>
        </w:tc>
      </w:tr>
      <w:tr w14:paraId="549FA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2B50A69F">
            <w:pPr>
              <w:pStyle w:val="52"/>
              <w:rPr>
                <w:snapToGrid w:val="0"/>
                <w:lang w:eastAsia="ko-KR"/>
              </w:rPr>
            </w:pPr>
            <w:r>
              <w:rPr>
                <w:snapToGrid w:val="0"/>
                <w:lang w:eastAsia="ko-KR"/>
              </w:rPr>
              <w:t>9</w:t>
            </w:r>
          </w:p>
        </w:tc>
        <w:tc>
          <w:tcPr>
            <w:tcW w:w="2064" w:type="pct"/>
            <w:tcBorders>
              <w:top w:val="single" w:color="auto" w:sz="4" w:space="0"/>
              <w:left w:val="single" w:color="auto" w:sz="4" w:space="0"/>
              <w:bottom w:val="single" w:color="auto" w:sz="4" w:space="0"/>
              <w:right w:val="single" w:color="auto" w:sz="4" w:space="0"/>
            </w:tcBorders>
          </w:tcPr>
          <w:p w14:paraId="5014F0E3">
            <w:pPr>
              <w:pStyle w:val="52"/>
              <w:rPr>
                <w:snapToGrid w:val="0"/>
                <w:lang w:eastAsia="ko-KR"/>
              </w:rPr>
            </w:pPr>
            <w:r>
              <w:rPr>
                <w:snapToGrid w:val="0"/>
                <w:lang w:eastAsia="ko-KR"/>
              </w:rPr>
              <w:t>4</w:t>
            </w:r>
          </w:p>
        </w:tc>
        <w:tc>
          <w:tcPr>
            <w:tcW w:w="2039" w:type="pct"/>
            <w:tcBorders>
              <w:top w:val="single" w:color="auto" w:sz="4" w:space="0"/>
              <w:left w:val="single" w:color="auto" w:sz="4" w:space="0"/>
              <w:bottom w:val="single" w:color="auto" w:sz="4" w:space="0"/>
              <w:right w:val="single" w:color="auto" w:sz="4" w:space="0"/>
            </w:tcBorders>
          </w:tcPr>
          <w:p w14:paraId="4E6A071C">
            <w:pPr>
              <w:pStyle w:val="52"/>
              <w:rPr>
                <w:snapToGrid w:val="0"/>
                <w:lang w:eastAsia="ko-KR"/>
              </w:rPr>
            </w:pPr>
            <w:r>
              <w:rPr>
                <w:snapToGrid w:val="0"/>
                <w:lang w:eastAsia="ko-KR"/>
              </w:rPr>
              <w:t>160</w:t>
            </w:r>
          </w:p>
        </w:tc>
      </w:tr>
      <w:tr w14:paraId="38B764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0B73A89E">
            <w:pPr>
              <w:pStyle w:val="52"/>
              <w:rPr>
                <w:snapToGrid w:val="0"/>
                <w:lang w:eastAsia="ko-KR"/>
              </w:rPr>
            </w:pPr>
            <w:r>
              <w:rPr>
                <w:snapToGrid w:val="0"/>
                <w:lang w:eastAsia="ko-KR"/>
              </w:rPr>
              <w:t>10</w:t>
            </w:r>
          </w:p>
        </w:tc>
        <w:tc>
          <w:tcPr>
            <w:tcW w:w="2064" w:type="pct"/>
            <w:tcBorders>
              <w:top w:val="single" w:color="auto" w:sz="4" w:space="0"/>
              <w:left w:val="single" w:color="auto" w:sz="4" w:space="0"/>
              <w:bottom w:val="single" w:color="auto" w:sz="4" w:space="0"/>
              <w:right w:val="single" w:color="auto" w:sz="4" w:space="0"/>
            </w:tcBorders>
          </w:tcPr>
          <w:p w14:paraId="6F185FA8">
            <w:pPr>
              <w:pStyle w:val="52"/>
              <w:rPr>
                <w:snapToGrid w:val="0"/>
                <w:lang w:eastAsia="ko-KR"/>
              </w:rPr>
            </w:pPr>
            <w:r>
              <w:rPr>
                <w:snapToGrid w:val="0"/>
                <w:lang w:eastAsia="ko-KR"/>
              </w:rPr>
              <w:t>3</w:t>
            </w:r>
          </w:p>
        </w:tc>
        <w:tc>
          <w:tcPr>
            <w:tcW w:w="2039" w:type="pct"/>
            <w:tcBorders>
              <w:top w:val="single" w:color="auto" w:sz="4" w:space="0"/>
              <w:left w:val="single" w:color="auto" w:sz="4" w:space="0"/>
              <w:bottom w:val="single" w:color="auto" w:sz="4" w:space="0"/>
              <w:right w:val="single" w:color="auto" w:sz="4" w:space="0"/>
            </w:tcBorders>
          </w:tcPr>
          <w:p w14:paraId="151A9AF5">
            <w:pPr>
              <w:pStyle w:val="52"/>
              <w:rPr>
                <w:snapToGrid w:val="0"/>
                <w:lang w:eastAsia="ko-KR"/>
              </w:rPr>
            </w:pPr>
            <w:r>
              <w:rPr>
                <w:snapToGrid w:val="0"/>
              </w:rPr>
              <w:t>20</w:t>
            </w:r>
          </w:p>
        </w:tc>
      </w:tr>
      <w:tr w14:paraId="3A76AA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897" w:type="pct"/>
            <w:tcBorders>
              <w:top w:val="single" w:color="auto" w:sz="4" w:space="0"/>
              <w:left w:val="single" w:color="auto" w:sz="4" w:space="0"/>
              <w:bottom w:val="single" w:color="auto" w:sz="4" w:space="0"/>
              <w:right w:val="single" w:color="auto" w:sz="4" w:space="0"/>
            </w:tcBorders>
          </w:tcPr>
          <w:p w14:paraId="6E8E9EE7">
            <w:pPr>
              <w:pStyle w:val="52"/>
              <w:rPr>
                <w:snapToGrid w:val="0"/>
                <w:lang w:eastAsia="ko-KR"/>
              </w:rPr>
            </w:pPr>
            <w:r>
              <w:rPr>
                <w:snapToGrid w:val="0"/>
                <w:lang w:eastAsia="ko-KR"/>
              </w:rPr>
              <w:t>11</w:t>
            </w:r>
          </w:p>
        </w:tc>
        <w:tc>
          <w:tcPr>
            <w:tcW w:w="2064" w:type="pct"/>
            <w:tcBorders>
              <w:top w:val="single" w:color="auto" w:sz="4" w:space="0"/>
              <w:left w:val="single" w:color="auto" w:sz="4" w:space="0"/>
              <w:bottom w:val="single" w:color="auto" w:sz="4" w:space="0"/>
              <w:right w:val="single" w:color="auto" w:sz="4" w:space="0"/>
            </w:tcBorders>
          </w:tcPr>
          <w:p w14:paraId="7072FD13">
            <w:pPr>
              <w:pStyle w:val="52"/>
              <w:rPr>
                <w:snapToGrid w:val="0"/>
                <w:lang w:eastAsia="ko-KR"/>
              </w:rPr>
            </w:pPr>
            <w:r>
              <w:rPr>
                <w:snapToGrid w:val="0"/>
                <w:lang w:eastAsia="ko-KR"/>
              </w:rPr>
              <w:t>3</w:t>
            </w:r>
          </w:p>
        </w:tc>
        <w:tc>
          <w:tcPr>
            <w:tcW w:w="2039" w:type="pct"/>
            <w:tcBorders>
              <w:top w:val="single" w:color="auto" w:sz="4" w:space="0"/>
              <w:left w:val="single" w:color="auto" w:sz="4" w:space="0"/>
              <w:bottom w:val="single" w:color="auto" w:sz="4" w:space="0"/>
              <w:right w:val="single" w:color="auto" w:sz="4" w:space="0"/>
            </w:tcBorders>
          </w:tcPr>
          <w:p w14:paraId="0663B72B">
            <w:pPr>
              <w:pStyle w:val="52"/>
              <w:rPr>
                <w:snapToGrid w:val="0"/>
                <w:lang w:eastAsia="ko-KR"/>
              </w:rPr>
            </w:pPr>
            <w:r>
              <w:rPr>
                <w:snapToGrid w:val="0"/>
                <w:lang w:eastAsia="ko-KR"/>
              </w:rPr>
              <w:t>160</w:t>
            </w:r>
          </w:p>
        </w:tc>
      </w:tr>
    </w:tbl>
    <w:p w14:paraId="6AF03F8A">
      <w:pPr>
        <w:rPr>
          <w:lang w:eastAsia="zh-CN"/>
        </w:rPr>
      </w:pPr>
    </w:p>
    <w:p w14:paraId="7EA61D83">
      <w:pPr>
        <w:pStyle w:val="55"/>
        <w:keepNext w:val="0"/>
        <w:rPr>
          <w:snapToGrid w:val="0"/>
          <w:lang w:eastAsia="zh-CN"/>
        </w:rPr>
      </w:pPr>
      <w:r>
        <w:rPr>
          <w:snapToGrid w:val="0"/>
        </w:rPr>
        <w:t>Table 9.1</w:t>
      </w:r>
      <w:r>
        <w:rPr>
          <w:snapToGrid w:val="0"/>
          <w:lang w:eastAsia="zh-CN"/>
        </w:rPr>
        <w:t>D</w:t>
      </w:r>
      <w:r>
        <w:rPr>
          <w:snapToGrid w:val="0"/>
        </w:rPr>
        <w:t>.2-</w:t>
      </w:r>
      <w:r>
        <w:rPr>
          <w:rFonts w:hint="eastAsia"/>
          <w:snapToGrid w:val="0"/>
          <w:lang w:eastAsia="zh-CN"/>
        </w:rPr>
        <w:t>2</w:t>
      </w:r>
      <w:r>
        <w:rPr>
          <w:snapToGrid w:val="0"/>
        </w:rPr>
        <w:t xml:space="preserve">: </w:t>
      </w:r>
      <w:r>
        <w:rPr>
          <w:rFonts w:hint="eastAsia"/>
          <w:snapToGrid w:val="0"/>
          <w:lang w:eastAsia="zh-CN"/>
        </w:rPr>
        <w:t>Void</w:t>
      </w:r>
    </w:p>
    <w:p w14:paraId="1DC287AC">
      <w:pPr>
        <w:pStyle w:val="55"/>
        <w:rPr>
          <w:snapToGrid w:val="0"/>
          <w:lang w:eastAsia="zh-CN"/>
        </w:rPr>
      </w:pPr>
      <w:r>
        <w:rPr>
          <w:snapToGrid w:val="0"/>
        </w:rPr>
        <w:t>Table 9.1</w:t>
      </w:r>
      <w:r>
        <w:rPr>
          <w:snapToGrid w:val="0"/>
          <w:lang w:eastAsia="zh-CN"/>
        </w:rPr>
        <w:t>D</w:t>
      </w:r>
      <w:r>
        <w:rPr>
          <w:snapToGrid w:val="0"/>
        </w:rPr>
        <w:t>.2-</w:t>
      </w:r>
      <w:r>
        <w:rPr>
          <w:rFonts w:hint="eastAsia"/>
          <w:snapToGrid w:val="0"/>
          <w:lang w:eastAsia="zh-CN"/>
        </w:rPr>
        <w:t>3</w:t>
      </w:r>
      <w:r>
        <w:rPr>
          <w:snapToGrid w:val="0"/>
        </w:rPr>
        <w:t>: Applicability for Gap Pattern Configurations supported by the UE with NR standalone operation</w:t>
      </w:r>
      <w:r>
        <w:rPr>
          <w:snapToGrid w:val="0"/>
          <w:lang w:eastAsia="zh-CN"/>
        </w:rPr>
        <w:t xml:space="preserve"> (with single carrier)</w:t>
      </w:r>
    </w:p>
    <w:tbl>
      <w:tblPr>
        <w:tblStyle w:val="42"/>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32"/>
        <w:gridCol w:w="1961"/>
        <w:gridCol w:w="1741"/>
        <w:gridCol w:w="3333"/>
        <w:gridCol w:w="8"/>
      </w:tblGrid>
      <w:tr w14:paraId="7D65A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trPr>
        <w:tc>
          <w:tcPr>
            <w:tcW w:w="1397" w:type="pct"/>
            <w:tcBorders>
              <w:top w:val="single" w:color="auto" w:sz="4" w:space="0"/>
              <w:left w:val="single" w:color="auto" w:sz="4" w:space="0"/>
              <w:bottom w:val="single" w:color="auto" w:sz="4" w:space="0"/>
              <w:right w:val="single" w:color="auto" w:sz="4" w:space="0"/>
            </w:tcBorders>
          </w:tcPr>
          <w:p w14:paraId="4ADB92BF">
            <w:pPr>
              <w:pStyle w:val="51"/>
            </w:pPr>
            <w:r>
              <w:rPr>
                <w:lang w:eastAsia="zh-CN"/>
              </w:rPr>
              <w:t>Measurement gap pattern</w:t>
            </w:r>
            <w:r>
              <w:t xml:space="preserve"> configuration</w:t>
            </w:r>
          </w:p>
        </w:tc>
        <w:tc>
          <w:tcPr>
            <w:tcW w:w="1003" w:type="pct"/>
            <w:tcBorders>
              <w:top w:val="single" w:color="auto" w:sz="4" w:space="0"/>
              <w:left w:val="single" w:color="auto" w:sz="4" w:space="0"/>
              <w:bottom w:val="single" w:color="auto" w:sz="4" w:space="0"/>
              <w:right w:val="single" w:color="auto" w:sz="4" w:space="0"/>
            </w:tcBorders>
          </w:tcPr>
          <w:p w14:paraId="64998B3E">
            <w:pPr>
              <w:pStyle w:val="51"/>
            </w:pPr>
            <w:r>
              <w:t xml:space="preserve">Serving cell </w:t>
            </w:r>
          </w:p>
        </w:tc>
        <w:tc>
          <w:tcPr>
            <w:tcW w:w="891" w:type="pct"/>
            <w:tcBorders>
              <w:top w:val="single" w:color="auto" w:sz="4" w:space="0"/>
              <w:left w:val="single" w:color="auto" w:sz="4" w:space="0"/>
              <w:bottom w:val="single" w:color="auto" w:sz="4" w:space="0"/>
              <w:right w:val="single" w:color="auto" w:sz="4" w:space="0"/>
            </w:tcBorders>
          </w:tcPr>
          <w:p w14:paraId="717FABE7">
            <w:pPr>
              <w:pStyle w:val="51"/>
            </w:pPr>
            <w:r>
              <w:t>Measurement Purpose</w:t>
            </w:r>
            <w:r>
              <w:rPr>
                <w:vertAlign w:val="superscript"/>
              </w:rPr>
              <w:t xml:space="preserve"> </w:t>
            </w:r>
          </w:p>
        </w:tc>
        <w:tc>
          <w:tcPr>
            <w:tcW w:w="1705" w:type="pct"/>
            <w:tcBorders>
              <w:top w:val="single" w:color="auto" w:sz="4" w:space="0"/>
              <w:left w:val="single" w:color="auto" w:sz="4" w:space="0"/>
              <w:bottom w:val="single" w:color="auto" w:sz="4" w:space="0"/>
              <w:right w:val="single" w:color="auto" w:sz="4" w:space="0"/>
            </w:tcBorders>
          </w:tcPr>
          <w:p w14:paraId="49F2A9B7">
            <w:pPr>
              <w:pStyle w:val="51"/>
            </w:pPr>
            <w:r>
              <w:t>Applicable Gap Pattern Id</w:t>
            </w:r>
          </w:p>
        </w:tc>
      </w:tr>
      <w:tr w14:paraId="761BFD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4" w:type="pct"/>
          <w:cantSplit/>
          <w:jc w:val="center"/>
        </w:trPr>
        <w:tc>
          <w:tcPr>
            <w:tcW w:w="1397" w:type="pct"/>
            <w:tcBorders>
              <w:top w:val="single" w:color="auto" w:sz="4" w:space="0"/>
              <w:left w:val="single" w:color="auto" w:sz="4" w:space="0"/>
              <w:right w:val="single" w:color="auto" w:sz="4" w:space="0"/>
            </w:tcBorders>
            <w:vAlign w:val="center"/>
          </w:tcPr>
          <w:p w14:paraId="6A0300D6">
            <w:pPr>
              <w:pStyle w:val="52"/>
              <w:rPr>
                <w:snapToGrid w:val="0"/>
              </w:rPr>
            </w:pPr>
            <w:r>
              <w:rPr>
                <w:snapToGrid w:val="0"/>
              </w:rPr>
              <w:t xml:space="preserve">Per-UE </w:t>
            </w:r>
            <w:r>
              <w:rPr>
                <w:snapToGrid w:val="0"/>
                <w:lang w:eastAsia="zh-CN"/>
              </w:rPr>
              <w:t xml:space="preserve">measurement </w:t>
            </w:r>
            <w:r>
              <w:rPr>
                <w:snapToGrid w:val="0"/>
              </w:rPr>
              <w:t>gap</w:t>
            </w:r>
          </w:p>
        </w:tc>
        <w:tc>
          <w:tcPr>
            <w:tcW w:w="1003" w:type="pct"/>
            <w:tcBorders>
              <w:top w:val="single" w:color="auto" w:sz="4" w:space="0"/>
              <w:left w:val="single" w:color="auto" w:sz="4" w:space="0"/>
              <w:right w:val="single" w:color="auto" w:sz="4" w:space="0"/>
            </w:tcBorders>
            <w:vAlign w:val="center"/>
          </w:tcPr>
          <w:p w14:paraId="1044092E">
            <w:pPr>
              <w:pStyle w:val="52"/>
              <w:rPr>
                <w:snapToGrid w:val="0"/>
                <w:lang w:eastAsia="zh-CN"/>
              </w:rPr>
            </w:pPr>
            <w:r>
              <w:rPr>
                <w:snapToGrid w:val="0"/>
              </w:rPr>
              <w:t>FR1</w:t>
            </w:r>
          </w:p>
        </w:tc>
        <w:tc>
          <w:tcPr>
            <w:tcW w:w="891" w:type="pct"/>
            <w:tcBorders>
              <w:top w:val="single" w:color="auto" w:sz="4" w:space="0"/>
              <w:left w:val="single" w:color="auto" w:sz="4" w:space="0"/>
              <w:bottom w:val="single" w:color="auto" w:sz="4" w:space="0"/>
              <w:right w:val="single" w:color="auto" w:sz="4" w:space="0"/>
            </w:tcBorders>
            <w:vAlign w:val="center"/>
          </w:tcPr>
          <w:p w14:paraId="1D20F1B8">
            <w:pPr>
              <w:pStyle w:val="52"/>
              <w:rPr>
                <w:snapToGrid w:val="0"/>
                <w:lang w:eastAsia="zh-CN"/>
              </w:rPr>
            </w:pPr>
            <w:r>
              <w:t>FR1</w:t>
            </w:r>
          </w:p>
        </w:tc>
        <w:tc>
          <w:tcPr>
            <w:tcW w:w="1705" w:type="pct"/>
            <w:tcBorders>
              <w:top w:val="single" w:color="auto" w:sz="4" w:space="0"/>
              <w:left w:val="single" w:color="auto" w:sz="4" w:space="0"/>
              <w:bottom w:val="single" w:color="auto" w:sz="4" w:space="0"/>
              <w:right w:val="single" w:color="auto" w:sz="4" w:space="0"/>
            </w:tcBorders>
            <w:vAlign w:val="center"/>
          </w:tcPr>
          <w:p w14:paraId="13E5E8AD">
            <w:pPr>
              <w:pStyle w:val="52"/>
              <w:rPr>
                <w:snapToGrid w:val="0"/>
              </w:rPr>
            </w:pPr>
            <w:r>
              <w:rPr>
                <w:snapToGrid w:val="0"/>
              </w:rPr>
              <w:t>0-11</w:t>
            </w:r>
          </w:p>
        </w:tc>
      </w:tr>
      <w:tr w14:paraId="28118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vAlign w:val="center"/>
          </w:tcPr>
          <w:p w14:paraId="64A2A6B9">
            <w:pPr>
              <w:pStyle w:val="66"/>
              <w:rPr>
                <w:lang w:eastAsia="zh-CN"/>
              </w:rPr>
            </w:pPr>
            <w:r>
              <w:t>NOTE 1:</w:t>
            </w:r>
            <w:r>
              <w:tab/>
            </w:r>
            <w:r>
              <w:t>Void</w:t>
            </w:r>
          </w:p>
          <w:p w14:paraId="4EE2E2B2">
            <w:pPr>
              <w:pStyle w:val="66"/>
              <w:rPr>
                <w:lang w:eastAsia="zh-CN"/>
              </w:rPr>
            </w:pPr>
            <w:r>
              <w:t>NOTE 2:</w:t>
            </w:r>
            <w:r>
              <w:tab/>
            </w:r>
            <w:r>
              <w:t>Void</w:t>
            </w:r>
          </w:p>
          <w:p w14:paraId="711F982F">
            <w:pPr>
              <w:pStyle w:val="66"/>
              <w:rPr>
                <w:lang w:eastAsia="zh-CN"/>
              </w:rPr>
            </w:pPr>
            <w:r>
              <w:t>NOTE 3:</w:t>
            </w:r>
            <w:r>
              <w:tab/>
            </w:r>
            <w:r>
              <w:t>Void</w:t>
            </w:r>
          </w:p>
          <w:p w14:paraId="296F3F7C">
            <w:pPr>
              <w:pStyle w:val="66"/>
            </w:pPr>
            <w:r>
              <w:t>NOTE 4:</w:t>
            </w:r>
            <w:r>
              <w:tab/>
            </w:r>
            <w:r>
              <w:t>If per-UE measurement gap is configured with MG timing advance of T</w:t>
            </w:r>
            <w:r>
              <w:rPr>
                <w:vertAlign w:val="subscript"/>
              </w:rPr>
              <w:t>MG</w:t>
            </w:r>
            <w:r>
              <w:t xml:space="preserve"> ms, the measurement gap starts at time T</w:t>
            </w:r>
            <w:r>
              <w:rPr>
                <w:vertAlign w:val="subscript"/>
              </w:rPr>
              <w:t>MG</w:t>
            </w:r>
            <w:r>
              <w:t xml:space="preserve"> ms advanced to the end of the latest subframe occurring immediately before the configured measurement gap among all serving cells subframes.</w:t>
            </w:r>
            <w:r>
              <w:rPr>
                <w:rFonts w:cs="Arial"/>
              </w:rPr>
              <w:tab/>
            </w:r>
            <w:r>
              <w:t>T</w:t>
            </w:r>
            <w:r>
              <w:rPr>
                <w:vertAlign w:val="subscript"/>
              </w:rPr>
              <w:t>MG</w:t>
            </w:r>
            <w:r>
              <w:t xml:space="preserve"> is the MG timing advance value provided in </w:t>
            </w:r>
            <w:r>
              <w:rPr>
                <w:i/>
              </w:rPr>
              <w:t>mgta</w:t>
            </w:r>
            <w:r>
              <w:t xml:space="preserve"> according to [2].</w:t>
            </w:r>
          </w:p>
          <w:p w14:paraId="04C581CF">
            <w:pPr>
              <w:pStyle w:val="66"/>
              <w:rPr>
                <w:lang w:eastAsia="zh-CN"/>
              </w:rPr>
            </w:pPr>
            <w:r>
              <w:tab/>
            </w:r>
            <w:r>
              <w:t>In determining the measurement gap starting point, UE shall use the DL timing of the latest subframe occurring immediately before the configured measurement gap among serving cells.</w:t>
            </w:r>
          </w:p>
        </w:tc>
      </w:tr>
    </w:tbl>
    <w:p w14:paraId="44408FAF"/>
    <w:p w14:paraId="48FCAE9E">
      <w:pPr>
        <w:rPr>
          <w:lang w:eastAsia="ko-KR"/>
        </w:rPr>
      </w:pPr>
      <w:r>
        <w:rPr>
          <w:lang w:eastAsia="ko-KR"/>
        </w:rPr>
        <w:t xml:space="preserve">For </w:t>
      </w:r>
      <w:r>
        <w:rPr>
          <w:rFonts w:hint="eastAsia"/>
          <w:lang w:eastAsia="zh-CN"/>
        </w:rPr>
        <w:t>single</w:t>
      </w:r>
      <w:r>
        <w:rPr>
          <w:lang w:eastAsia="zh-CN"/>
        </w:rPr>
        <w:t xml:space="preserve"> carrier</w:t>
      </w:r>
      <w:ins w:id="1" w:author="ZTE-Chenchen" w:date="2026-01-30T20:54:20Z">
        <w:r>
          <w:rPr>
            <w:rFonts w:hint="eastAsia"/>
            <w:lang w:val="en-US" w:eastAsia="zh-CN"/>
          </w:rPr>
          <w:t>,</w:t>
        </w:r>
      </w:ins>
      <w:del w:id="2" w:author="ZTE-Chenchen" w:date="2026-01-30T20:54:10Z">
        <w:r>
          <w:rPr>
            <w:highlight w:val="none"/>
            <w:lang w:eastAsia="ko-KR"/>
          </w:rPr>
          <w:delText xml:space="preserve"> with aligned frame boundaries</w:delText>
        </w:r>
      </w:del>
      <w:r>
        <w:rPr>
          <w:lang w:eastAsia="ko-KR"/>
        </w:rPr>
        <w:t>,</w:t>
      </w:r>
    </w:p>
    <w:p w14:paraId="5780552F">
      <w:pPr>
        <w:pStyle w:val="75"/>
        <w:rPr>
          <w:lang w:eastAsia="ko-KR"/>
        </w:rPr>
      </w:pPr>
      <w:r>
        <w:rPr>
          <w:lang w:eastAsia="ko-KR"/>
        </w:rPr>
        <w:tab/>
      </w:r>
      <w:r>
        <w:rPr>
          <w:lang w:eastAsia="ko-KR"/>
        </w:rPr>
        <w:t>For NR standalone</w:t>
      </w:r>
      <w:r>
        <w:rPr>
          <w:lang w:eastAsia="zh-CN"/>
        </w:rPr>
        <w:t xml:space="preserve"> operation (with single carrier)</w:t>
      </w:r>
      <w:r>
        <w:rPr>
          <w:lang w:eastAsia="ko-KR"/>
        </w:rPr>
        <w:t>, total interruption time on a serving cell during MGL is defined when MGL(N) = 6 ms,</w:t>
      </w:r>
      <w:r>
        <w:rPr>
          <w:rFonts w:hint="eastAsia"/>
          <w:lang w:eastAsia="zh-CN"/>
        </w:rPr>
        <w:t xml:space="preserve"> </w:t>
      </w:r>
      <w:r>
        <w:rPr>
          <w:lang w:eastAsia="ko-KR"/>
        </w:rPr>
        <w:t xml:space="preserve">4 ms, 3 ms. </w:t>
      </w:r>
    </w:p>
    <w:p w14:paraId="316E2E1C">
      <w:pPr>
        <w:pStyle w:val="55"/>
        <w:rPr>
          <w:lang w:eastAsia="ko-KR"/>
        </w:rPr>
      </w:pPr>
      <w:r>
        <w:drawing>
          <wp:inline distT="0" distB="0" distL="0" distR="0">
            <wp:extent cx="6096000" cy="1301750"/>
            <wp:effectExtent l="0" t="0" r="0" b="12700"/>
            <wp:docPr id="118157902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81579021"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b="19797"/>
                    <a:stretch>
                      <a:fillRect/>
                    </a:stretch>
                  </pic:blipFill>
                  <pic:spPr>
                    <a:xfrm>
                      <a:off x="0" y="0"/>
                      <a:ext cx="6096000" cy="1301750"/>
                    </a:xfrm>
                    <a:prstGeom prst="rect">
                      <a:avLst/>
                    </a:prstGeom>
                    <a:noFill/>
                    <a:ln>
                      <a:noFill/>
                    </a:ln>
                  </pic:spPr>
                </pic:pic>
              </a:graphicData>
            </a:graphic>
          </wp:inline>
        </w:drawing>
      </w:r>
      <w:r>
        <w:rPr>
          <w:lang w:eastAsia="ko-KR"/>
        </w:rPr>
        <w:t xml:space="preserve"> (a)</w:t>
      </w:r>
      <w:r>
        <w:rPr>
          <w:lang w:eastAsia="ko-KR"/>
        </w:rPr>
        <w:tab/>
      </w:r>
      <w:r>
        <w:rPr>
          <w:lang w:eastAsia="ko-KR"/>
        </w:rPr>
        <w:t xml:space="preserve">Measurement gap with MGL = N(ms) with MG timing advance of 0 ms for </w:t>
      </w:r>
      <w:del w:id="3" w:author="ZTE-Chenchen" w:date="2026-01-30T20:54:43Z">
        <w:r>
          <w:rPr>
            <w:lang w:eastAsia="ko-KR"/>
          </w:rPr>
          <w:delText xml:space="preserve">all </w:delText>
        </w:r>
      </w:del>
      <w:r>
        <w:rPr>
          <w:lang w:eastAsia="ko-KR"/>
        </w:rPr>
        <w:t>serving cell</w:t>
      </w:r>
      <w:del w:id="4" w:author="ZTE-Chenchen" w:date="2026-01-30T20:54:44Z">
        <w:r>
          <w:rPr>
            <w:lang w:eastAsia="ko-KR"/>
          </w:rPr>
          <w:delText>s</w:delText>
        </w:r>
      </w:del>
      <w:r>
        <w:rPr>
          <w:lang w:eastAsia="ko-KR"/>
        </w:rPr>
        <w:t xml:space="preserve"> in synchronous NR standalone</w:t>
      </w:r>
      <w:r>
        <w:rPr>
          <w:lang w:eastAsia="zh-CN"/>
        </w:rPr>
        <w:t xml:space="preserve"> operation (with single carrier)</w:t>
      </w:r>
    </w:p>
    <w:p w14:paraId="6AEBBEDD">
      <w:pPr>
        <w:pStyle w:val="55"/>
        <w:rPr>
          <w:lang w:eastAsia="zh-CN"/>
        </w:rPr>
      </w:pPr>
      <w:r>
        <w:drawing>
          <wp:inline distT="0" distB="0" distL="0" distR="0">
            <wp:extent cx="6096000" cy="1295400"/>
            <wp:effectExtent l="0" t="0" r="0" b="0"/>
            <wp:docPr id="199056488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0564881"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b="20267"/>
                    <a:stretch>
                      <a:fillRect/>
                    </a:stretch>
                  </pic:blipFill>
                  <pic:spPr>
                    <a:xfrm>
                      <a:off x="0" y="0"/>
                      <a:ext cx="6096000" cy="1295400"/>
                    </a:xfrm>
                    <a:prstGeom prst="rect">
                      <a:avLst/>
                    </a:prstGeom>
                    <a:noFill/>
                    <a:ln>
                      <a:noFill/>
                    </a:ln>
                  </pic:spPr>
                </pic:pic>
              </a:graphicData>
            </a:graphic>
          </wp:inline>
        </w:drawing>
      </w:r>
      <w:r>
        <w:rPr>
          <w:lang w:eastAsia="ko-KR"/>
        </w:rPr>
        <w:t xml:space="preserve"> (b)</w:t>
      </w:r>
      <w:r>
        <w:rPr>
          <w:lang w:eastAsia="ko-KR"/>
        </w:rPr>
        <w:tab/>
      </w:r>
      <w:r>
        <w:rPr>
          <w:lang w:eastAsia="ko-KR"/>
        </w:rPr>
        <w:t>Measurement gap with MGL = N(ms) with MG timing advance of 0.5 ms for</w:t>
      </w:r>
      <w:del w:id="5" w:author="ZTE-Chenchen" w:date="2026-01-30T20:54:57Z">
        <w:r>
          <w:rPr>
            <w:lang w:eastAsia="ko-KR"/>
          </w:rPr>
          <w:delText xml:space="preserve"> all</w:delText>
        </w:r>
      </w:del>
      <w:r>
        <w:rPr>
          <w:lang w:eastAsia="ko-KR"/>
        </w:rPr>
        <w:t xml:space="preserve"> serving cell</w:t>
      </w:r>
      <w:del w:id="6" w:author="ZTE-Chenchen" w:date="2026-01-30T20:55:00Z">
        <w:r>
          <w:rPr>
            <w:lang w:eastAsia="ko-KR"/>
          </w:rPr>
          <w:delText>s</w:delText>
        </w:r>
      </w:del>
      <w:r>
        <w:rPr>
          <w:lang w:eastAsia="ko-KR"/>
        </w:rPr>
        <w:t xml:space="preserve"> in synchronous NR standalone</w:t>
      </w:r>
      <w:r>
        <w:rPr>
          <w:lang w:eastAsia="zh-CN"/>
        </w:rPr>
        <w:t xml:space="preserve"> operation (with single carrier)</w:t>
      </w:r>
    </w:p>
    <w:p w14:paraId="71060431">
      <w:pPr>
        <w:pStyle w:val="54"/>
        <w:rPr>
          <w:snapToGrid w:val="0"/>
        </w:rPr>
      </w:pPr>
      <w:r>
        <w:rPr>
          <w:snapToGrid w:val="0"/>
        </w:rPr>
        <w:t xml:space="preserve">Figure </w:t>
      </w:r>
      <w:r>
        <w:rPr>
          <w:snapToGrid w:val="0"/>
          <w:lang w:eastAsia="ko-KR"/>
        </w:rPr>
        <w:t>9</w:t>
      </w:r>
      <w:r>
        <w:rPr>
          <w:snapToGrid w:val="0"/>
        </w:rPr>
        <w:t>.1</w:t>
      </w:r>
      <w:r>
        <w:rPr>
          <w:snapToGrid w:val="0"/>
          <w:lang w:eastAsia="zh-CN"/>
        </w:rPr>
        <w:t>D</w:t>
      </w:r>
      <w:r>
        <w:rPr>
          <w:snapToGrid w:val="0"/>
        </w:rPr>
        <w:t>.2-1: Measurement GAP and total interruption time on serving cell</w:t>
      </w:r>
      <w:del w:id="7" w:author="ZTE-Chenchen" w:date="2026-01-30T20:55:04Z">
        <w:r>
          <w:rPr>
            <w:snapToGrid w:val="0"/>
          </w:rPr>
          <w:delText>s</w:delText>
        </w:r>
      </w:del>
      <w:r>
        <w:rPr>
          <w:snapToGrid w:val="0"/>
        </w:rPr>
        <w:t xml:space="preserve"> for NR standalone</w:t>
      </w:r>
      <w:r>
        <w:rPr>
          <w:lang w:eastAsia="zh-CN"/>
        </w:rPr>
        <w:t xml:space="preserve"> operation (with single carrier)</w:t>
      </w:r>
      <w:r>
        <w:rPr>
          <w:snapToGrid w:val="0"/>
        </w:rPr>
        <w:t xml:space="preserve"> </w:t>
      </w:r>
    </w:p>
    <w:p w14:paraId="0EDBB8D3">
      <w:pPr>
        <w:rPr>
          <w:lang w:eastAsia="ko-KR"/>
        </w:rPr>
      </w:pPr>
      <w:r>
        <w:rPr>
          <w:lang w:eastAsia="ko-KR"/>
        </w:rPr>
        <w:t>The corresponding t</w:t>
      </w:r>
      <w:r>
        <w:rPr>
          <w:highlight w:val="none"/>
          <w:lang w:eastAsia="ko-KR"/>
        </w:rPr>
        <w:t>otal number of interrupted slot</w:t>
      </w:r>
      <w:r>
        <w:rPr>
          <w:rFonts w:eastAsia="MS Mincho"/>
          <w:highlight w:val="none"/>
          <w:lang w:eastAsia="ja-JP"/>
        </w:rPr>
        <w:t>s</w:t>
      </w:r>
      <w:r>
        <w:rPr>
          <w:highlight w:val="none"/>
          <w:lang w:eastAsia="ko-KR"/>
        </w:rPr>
        <w:t xml:space="preserve"> on serving cell</w:t>
      </w:r>
      <w:del w:id="8" w:author="ZTE-Chenchen" w:date="2026-01-30T20:55:18Z">
        <w:r>
          <w:rPr>
            <w:highlight w:val="none"/>
            <w:lang w:eastAsia="ko-KR"/>
          </w:rPr>
          <w:delText>s</w:delText>
        </w:r>
      </w:del>
      <w:r>
        <w:rPr>
          <w:highlight w:val="none"/>
          <w:lang w:eastAsia="ko-KR"/>
        </w:rPr>
        <w:t xml:space="preserve"> is listed in table 9.1</w:t>
      </w:r>
      <w:r>
        <w:rPr>
          <w:highlight w:val="none"/>
          <w:lang w:eastAsia="zh-CN"/>
        </w:rPr>
        <w:t>D</w:t>
      </w:r>
      <w:r>
        <w:rPr>
          <w:highlight w:val="none"/>
          <w:lang w:eastAsia="ko-KR"/>
        </w:rPr>
        <w:t>.2-4 for</w:t>
      </w:r>
      <w:del w:id="9" w:author="ZTE-Chenchen" w:date="2026-01-30T20:55:23Z">
        <w:r>
          <w:rPr>
            <w:highlight w:val="none"/>
            <w:lang w:eastAsia="ko-KR"/>
          </w:rPr>
          <w:delText xml:space="preserve"> al</w:delText>
        </w:r>
      </w:del>
      <w:del w:id="10" w:author="ZTE-Chenchen" w:date="2026-01-30T20:55:22Z">
        <w:r>
          <w:rPr>
            <w:highlight w:val="none"/>
            <w:lang w:eastAsia="ko-KR"/>
          </w:rPr>
          <w:delText>l</w:delText>
        </w:r>
      </w:del>
      <w:r>
        <w:rPr>
          <w:highlight w:val="none"/>
          <w:lang w:eastAsia="ko-KR"/>
        </w:rPr>
        <w:t xml:space="preserve"> serving cell</w:t>
      </w:r>
      <w:del w:id="11" w:author="ZTE-Chenchen" w:date="2026-01-30T20:55:21Z">
        <w:r>
          <w:rPr>
            <w:highlight w:val="none"/>
            <w:lang w:eastAsia="ko-KR"/>
          </w:rPr>
          <w:delText>s</w:delText>
        </w:r>
      </w:del>
      <w:r>
        <w:rPr>
          <w:highlight w:val="none"/>
          <w:lang w:eastAsia="ko-KR"/>
        </w:rPr>
        <w:t xml:space="preserve"> in s</w:t>
      </w:r>
      <w:r>
        <w:rPr>
          <w:snapToGrid w:val="0"/>
          <w:highlight w:val="none"/>
          <w:lang w:eastAsia="ko-KR"/>
        </w:rPr>
        <w:t>y</w:t>
      </w:r>
      <w:r>
        <w:rPr>
          <w:snapToGrid w:val="0"/>
          <w:lang w:eastAsia="ko-KR"/>
        </w:rPr>
        <w:t>nchronous</w:t>
      </w:r>
      <w:r>
        <w:rPr>
          <w:lang w:eastAsia="ko-KR"/>
        </w:rPr>
        <w:t xml:space="preserve"> NR standalone </w:t>
      </w:r>
      <w:r>
        <w:rPr>
          <w:lang w:eastAsia="zh-CN"/>
        </w:rPr>
        <w:t>(with single carrier)</w:t>
      </w:r>
      <w:r>
        <w:rPr>
          <w:lang w:eastAsia="ko-KR"/>
        </w:rPr>
        <w:t>.</w:t>
      </w:r>
    </w:p>
    <w:p w14:paraId="1E4E3538">
      <w:pPr>
        <w:pStyle w:val="55"/>
        <w:rPr>
          <w:rFonts w:eastAsia="MS Mincho"/>
          <w:lang w:eastAsia="ja-JP"/>
        </w:rPr>
      </w:pPr>
      <w:r>
        <w:rPr>
          <w:snapToGrid w:val="0"/>
        </w:rPr>
        <w:t xml:space="preserve">Table </w:t>
      </w:r>
      <w:r>
        <w:rPr>
          <w:snapToGrid w:val="0"/>
          <w:lang w:eastAsia="ko-KR"/>
        </w:rPr>
        <w:t>9.1</w:t>
      </w:r>
      <w:r>
        <w:rPr>
          <w:snapToGrid w:val="0"/>
          <w:lang w:eastAsia="zh-CN"/>
        </w:rPr>
        <w:t>D</w:t>
      </w:r>
      <w:r>
        <w:rPr>
          <w:snapToGrid w:val="0"/>
          <w:lang w:eastAsia="ko-KR"/>
        </w:rPr>
        <w:t>.2</w:t>
      </w:r>
      <w:r>
        <w:rPr>
          <w:snapToGrid w:val="0"/>
        </w:rPr>
        <w:t>-</w:t>
      </w:r>
      <w:r>
        <w:rPr>
          <w:snapToGrid w:val="0"/>
          <w:lang w:eastAsia="ko-KR"/>
        </w:rPr>
        <w:t>4</w:t>
      </w:r>
      <w:r>
        <w:rPr>
          <w:snapToGrid w:val="0"/>
        </w:rPr>
        <w:t xml:space="preserve">: </w:t>
      </w:r>
      <w:r>
        <w:rPr>
          <w:lang w:eastAsia="ko-KR"/>
        </w:rPr>
        <w:t>Total number of interrupted slot</w:t>
      </w:r>
      <w:r>
        <w:rPr>
          <w:rFonts w:eastAsia="MS Mincho"/>
          <w:lang w:eastAsia="ja-JP"/>
        </w:rPr>
        <w:t>s</w:t>
      </w:r>
      <w:r>
        <w:rPr>
          <w:lang w:eastAsia="ko-KR"/>
        </w:rPr>
        <w:t xml:space="preserve"> on </w:t>
      </w:r>
      <w:del w:id="12" w:author="ZTE-Chenchen" w:date="2026-01-30T20:55:37Z">
        <w:r>
          <w:rPr>
            <w:lang w:eastAsia="ko-KR"/>
          </w:rPr>
          <w:delText xml:space="preserve">all </w:delText>
        </w:r>
      </w:del>
      <w:r>
        <w:rPr>
          <w:lang w:eastAsia="ko-KR"/>
        </w:rPr>
        <w:t>serving cell</w:t>
      </w:r>
      <w:del w:id="13" w:author="ZTE-Chenchen" w:date="2026-01-30T20:55:32Z">
        <w:r>
          <w:rPr>
            <w:lang w:eastAsia="ko-KR"/>
          </w:rPr>
          <w:delText>s</w:delText>
        </w:r>
      </w:del>
      <w:r>
        <w:rPr>
          <w:lang w:eastAsia="ko-KR"/>
        </w:rPr>
        <w:t xml:space="preserve"> during MGL for S</w:t>
      </w:r>
      <w:r>
        <w:rPr>
          <w:snapToGrid w:val="0"/>
          <w:lang w:eastAsia="ko-KR"/>
        </w:rPr>
        <w:t xml:space="preserve">ynchronous </w:t>
      </w:r>
      <w:r>
        <w:rPr>
          <w:rFonts w:eastAsia="MS Mincho"/>
          <w:snapToGrid w:val="0"/>
          <w:lang w:eastAsia="ja-JP"/>
        </w:rPr>
        <w:t>NR standalone</w:t>
      </w:r>
      <w:r>
        <w:rPr>
          <w:lang w:eastAsia="zh-CN"/>
        </w:rPr>
        <w:t xml:space="preserve"> operation (with single carrier)</w:t>
      </w:r>
      <w:r>
        <w:rPr>
          <w:rFonts w:hint="eastAsia"/>
          <w:snapToGrid w:val="0"/>
          <w:lang w:eastAsia="zh-CN"/>
        </w:rPr>
        <w:t xml:space="preserve"> </w:t>
      </w:r>
      <w:r>
        <w:rPr>
          <w:rFonts w:eastAsia="MS Mincho"/>
          <w:snapToGrid w:val="0"/>
          <w:lang w:eastAsia="ja-JP"/>
        </w:rPr>
        <w:t xml:space="preserve">with per-UE measurement gap </w:t>
      </w:r>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656"/>
        <w:gridCol w:w="2534"/>
        <w:gridCol w:w="1082"/>
        <w:gridCol w:w="1082"/>
        <w:gridCol w:w="2111"/>
        <w:gridCol w:w="1082"/>
        <w:gridCol w:w="1082"/>
      </w:tblGrid>
      <w:tr w14:paraId="2BEF34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56" w:type="dxa"/>
            <w:tcBorders>
              <w:bottom w:val="nil"/>
            </w:tcBorders>
            <w:shd w:val="clear" w:color="auto" w:fill="auto"/>
          </w:tcPr>
          <w:p w14:paraId="395C7285">
            <w:pPr>
              <w:pStyle w:val="51"/>
            </w:pPr>
            <w:r>
              <w:rPr>
                <w:lang w:eastAsia="ko-KR"/>
              </w:rPr>
              <w:t xml:space="preserve">NR </w:t>
            </w:r>
          </w:p>
        </w:tc>
        <w:tc>
          <w:tcPr>
            <w:tcW w:w="8973" w:type="dxa"/>
            <w:gridSpan w:val="6"/>
          </w:tcPr>
          <w:p w14:paraId="2AA2359B">
            <w:pPr>
              <w:pStyle w:val="51"/>
              <w:rPr>
                <w:lang w:eastAsia="ko-KR"/>
              </w:rPr>
            </w:pPr>
            <w:r>
              <w:rPr>
                <w:lang w:eastAsia="ko-KR"/>
              </w:rPr>
              <w:t>Total number of interrupted slot</w:t>
            </w:r>
            <w:r>
              <w:rPr>
                <w:rFonts w:eastAsia="MS Mincho"/>
                <w:lang w:eastAsia="ja-JP"/>
              </w:rPr>
              <w:t>s</w:t>
            </w:r>
            <w:r>
              <w:rPr>
                <w:lang w:eastAsia="ko-KR"/>
              </w:rPr>
              <w:t xml:space="preserve"> on serving cell</w:t>
            </w:r>
            <w:del w:id="14" w:author="ZTE-Chenchen" w:date="2026-01-30T20:55:46Z">
              <w:r>
                <w:rPr>
                  <w:lang w:eastAsia="ko-KR"/>
                </w:rPr>
                <w:delText>s</w:delText>
              </w:r>
            </w:del>
          </w:p>
        </w:tc>
      </w:tr>
      <w:tr w14:paraId="33E9C9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56" w:type="dxa"/>
            <w:tcBorders>
              <w:top w:val="nil"/>
              <w:bottom w:val="nil"/>
            </w:tcBorders>
            <w:shd w:val="clear" w:color="auto" w:fill="auto"/>
          </w:tcPr>
          <w:p w14:paraId="12B47D41">
            <w:pPr>
              <w:pStyle w:val="51"/>
              <w:rPr>
                <w:lang w:eastAsia="ko-KR"/>
              </w:rPr>
            </w:pPr>
            <w:r>
              <w:rPr>
                <w:lang w:eastAsia="ko-KR"/>
              </w:rPr>
              <w:t>SCS</w:t>
            </w:r>
          </w:p>
        </w:tc>
        <w:tc>
          <w:tcPr>
            <w:tcW w:w="4698" w:type="dxa"/>
            <w:gridSpan w:val="3"/>
          </w:tcPr>
          <w:p w14:paraId="3135DFB6">
            <w:pPr>
              <w:pStyle w:val="51"/>
              <w:rPr>
                <w:lang w:eastAsia="ko-KR"/>
              </w:rPr>
            </w:pPr>
            <w:r>
              <w:rPr>
                <w:lang w:eastAsia="ko-KR"/>
              </w:rPr>
              <w:t>When MG timing advance of 0 ms is applied</w:t>
            </w:r>
          </w:p>
        </w:tc>
        <w:tc>
          <w:tcPr>
            <w:tcW w:w="4275" w:type="dxa"/>
            <w:gridSpan w:val="3"/>
          </w:tcPr>
          <w:p w14:paraId="7AD40C53">
            <w:pPr>
              <w:pStyle w:val="51"/>
              <w:rPr>
                <w:lang w:eastAsia="ko-KR"/>
              </w:rPr>
            </w:pPr>
            <w:r>
              <w:rPr>
                <w:lang w:eastAsia="ko-KR"/>
              </w:rPr>
              <w:t>When MG timing advance of 0.5 ms is applied</w:t>
            </w:r>
          </w:p>
        </w:tc>
      </w:tr>
      <w:tr w14:paraId="3D0250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56" w:type="dxa"/>
            <w:tcBorders>
              <w:top w:val="nil"/>
            </w:tcBorders>
            <w:shd w:val="clear" w:color="auto" w:fill="auto"/>
          </w:tcPr>
          <w:p w14:paraId="2AECF542">
            <w:pPr>
              <w:pStyle w:val="51"/>
            </w:pPr>
            <w:r>
              <w:t>(kHz)</w:t>
            </w:r>
          </w:p>
        </w:tc>
        <w:tc>
          <w:tcPr>
            <w:tcW w:w="2534" w:type="dxa"/>
          </w:tcPr>
          <w:p w14:paraId="6C4F5013">
            <w:pPr>
              <w:pStyle w:val="51"/>
              <w:rPr>
                <w:lang w:eastAsia="ko-KR"/>
              </w:rPr>
            </w:pPr>
            <w:r>
              <w:rPr>
                <w:lang w:eastAsia="ko-KR"/>
              </w:rPr>
              <w:t>MGL=6 ms</w:t>
            </w:r>
          </w:p>
        </w:tc>
        <w:tc>
          <w:tcPr>
            <w:tcW w:w="1082" w:type="dxa"/>
          </w:tcPr>
          <w:p w14:paraId="39BFD387">
            <w:pPr>
              <w:pStyle w:val="51"/>
              <w:rPr>
                <w:lang w:eastAsia="ko-KR"/>
              </w:rPr>
            </w:pPr>
            <w:r>
              <w:rPr>
                <w:lang w:eastAsia="ko-KR"/>
              </w:rPr>
              <w:t>MGL=4 ms</w:t>
            </w:r>
          </w:p>
        </w:tc>
        <w:tc>
          <w:tcPr>
            <w:tcW w:w="1082" w:type="dxa"/>
          </w:tcPr>
          <w:p w14:paraId="0F22A7CE">
            <w:pPr>
              <w:pStyle w:val="51"/>
              <w:rPr>
                <w:lang w:eastAsia="ko-KR"/>
              </w:rPr>
            </w:pPr>
            <w:r>
              <w:rPr>
                <w:lang w:eastAsia="ko-KR"/>
              </w:rPr>
              <w:t>MGL=3 ms</w:t>
            </w:r>
          </w:p>
        </w:tc>
        <w:tc>
          <w:tcPr>
            <w:tcW w:w="2111" w:type="dxa"/>
          </w:tcPr>
          <w:p w14:paraId="440580AC">
            <w:pPr>
              <w:pStyle w:val="51"/>
              <w:rPr>
                <w:lang w:eastAsia="ko-KR"/>
              </w:rPr>
            </w:pPr>
            <w:r>
              <w:rPr>
                <w:lang w:eastAsia="ko-KR"/>
              </w:rPr>
              <w:t>MGL=6 ms</w:t>
            </w:r>
          </w:p>
        </w:tc>
        <w:tc>
          <w:tcPr>
            <w:tcW w:w="1082" w:type="dxa"/>
          </w:tcPr>
          <w:p w14:paraId="22262952">
            <w:pPr>
              <w:pStyle w:val="51"/>
              <w:rPr>
                <w:lang w:eastAsia="ko-KR"/>
              </w:rPr>
            </w:pPr>
            <w:r>
              <w:rPr>
                <w:lang w:eastAsia="ko-KR"/>
              </w:rPr>
              <w:t>MGL=4 ms</w:t>
            </w:r>
          </w:p>
        </w:tc>
        <w:tc>
          <w:tcPr>
            <w:tcW w:w="1082" w:type="dxa"/>
            <w:shd w:val="clear" w:color="auto" w:fill="auto"/>
          </w:tcPr>
          <w:p w14:paraId="2D0BE94F">
            <w:pPr>
              <w:pStyle w:val="51"/>
              <w:rPr>
                <w:lang w:eastAsia="ko-KR"/>
              </w:rPr>
            </w:pPr>
            <w:r>
              <w:rPr>
                <w:lang w:eastAsia="ko-KR"/>
              </w:rPr>
              <w:t>MGL=3 ms</w:t>
            </w:r>
          </w:p>
        </w:tc>
      </w:tr>
      <w:tr w14:paraId="4F3A83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56" w:type="dxa"/>
            <w:shd w:val="clear" w:color="auto" w:fill="auto"/>
          </w:tcPr>
          <w:p w14:paraId="1CCC49FD">
            <w:pPr>
              <w:pStyle w:val="52"/>
            </w:pPr>
            <w:r>
              <w:t>15</w:t>
            </w:r>
          </w:p>
        </w:tc>
        <w:tc>
          <w:tcPr>
            <w:tcW w:w="2534" w:type="dxa"/>
          </w:tcPr>
          <w:p w14:paraId="6F4AEF29">
            <w:pPr>
              <w:pStyle w:val="52"/>
              <w:rPr>
                <w:lang w:eastAsia="ko-KR"/>
              </w:rPr>
            </w:pPr>
            <w:r>
              <w:rPr>
                <w:lang w:eastAsia="ko-KR"/>
              </w:rPr>
              <w:t>6</w:t>
            </w:r>
          </w:p>
        </w:tc>
        <w:tc>
          <w:tcPr>
            <w:tcW w:w="1082" w:type="dxa"/>
          </w:tcPr>
          <w:p w14:paraId="28C5EF68">
            <w:pPr>
              <w:pStyle w:val="52"/>
              <w:rPr>
                <w:lang w:eastAsia="ko-KR"/>
              </w:rPr>
            </w:pPr>
            <w:r>
              <w:rPr>
                <w:lang w:eastAsia="ko-KR"/>
              </w:rPr>
              <w:t>4</w:t>
            </w:r>
          </w:p>
        </w:tc>
        <w:tc>
          <w:tcPr>
            <w:tcW w:w="1082" w:type="dxa"/>
          </w:tcPr>
          <w:p w14:paraId="4C7E37D5">
            <w:pPr>
              <w:pStyle w:val="52"/>
              <w:rPr>
                <w:lang w:eastAsia="ko-KR"/>
              </w:rPr>
            </w:pPr>
            <w:r>
              <w:rPr>
                <w:lang w:eastAsia="ko-KR"/>
              </w:rPr>
              <w:t>3</w:t>
            </w:r>
          </w:p>
        </w:tc>
        <w:tc>
          <w:tcPr>
            <w:tcW w:w="2111" w:type="dxa"/>
          </w:tcPr>
          <w:p w14:paraId="7AD0A381">
            <w:pPr>
              <w:pStyle w:val="52"/>
              <w:rPr>
                <w:vertAlign w:val="superscript"/>
                <w:lang w:eastAsia="ko-KR"/>
              </w:rPr>
            </w:pPr>
            <w:r>
              <w:rPr>
                <w:lang w:eastAsia="ko-KR"/>
              </w:rPr>
              <w:t>7</w:t>
            </w:r>
            <w:r>
              <w:rPr>
                <w:vertAlign w:val="superscript"/>
                <w:lang w:eastAsia="ko-KR"/>
              </w:rPr>
              <w:t>Note3</w:t>
            </w:r>
          </w:p>
        </w:tc>
        <w:tc>
          <w:tcPr>
            <w:tcW w:w="1082" w:type="dxa"/>
          </w:tcPr>
          <w:p w14:paraId="311D865F">
            <w:pPr>
              <w:pStyle w:val="52"/>
              <w:rPr>
                <w:vertAlign w:val="superscript"/>
                <w:lang w:eastAsia="ko-KR"/>
              </w:rPr>
            </w:pPr>
            <w:r>
              <w:rPr>
                <w:lang w:eastAsia="ko-KR"/>
              </w:rPr>
              <w:t>5</w:t>
            </w:r>
            <w:r>
              <w:rPr>
                <w:vertAlign w:val="superscript"/>
                <w:lang w:eastAsia="ko-KR"/>
              </w:rPr>
              <w:t>Note3</w:t>
            </w:r>
          </w:p>
        </w:tc>
        <w:tc>
          <w:tcPr>
            <w:tcW w:w="1082" w:type="dxa"/>
            <w:shd w:val="clear" w:color="auto" w:fill="auto"/>
          </w:tcPr>
          <w:p w14:paraId="54B8C3C0">
            <w:pPr>
              <w:pStyle w:val="52"/>
              <w:rPr>
                <w:vertAlign w:val="superscript"/>
                <w:lang w:eastAsia="ko-KR"/>
              </w:rPr>
            </w:pPr>
            <w:r>
              <w:rPr>
                <w:lang w:eastAsia="ko-KR"/>
              </w:rPr>
              <w:t>4</w:t>
            </w:r>
            <w:r>
              <w:rPr>
                <w:vertAlign w:val="superscript"/>
                <w:lang w:eastAsia="ko-KR"/>
              </w:rPr>
              <w:t>Note3</w:t>
            </w:r>
          </w:p>
        </w:tc>
      </w:tr>
      <w:tr w14:paraId="53F9B8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56" w:type="dxa"/>
            <w:shd w:val="clear" w:color="auto" w:fill="auto"/>
          </w:tcPr>
          <w:p w14:paraId="12CFDA6A">
            <w:pPr>
              <w:pStyle w:val="52"/>
            </w:pPr>
            <w:r>
              <w:t>30</w:t>
            </w:r>
          </w:p>
        </w:tc>
        <w:tc>
          <w:tcPr>
            <w:tcW w:w="2534" w:type="dxa"/>
          </w:tcPr>
          <w:p w14:paraId="0895BD14">
            <w:pPr>
              <w:pStyle w:val="52"/>
              <w:rPr>
                <w:lang w:eastAsia="ko-KR"/>
              </w:rPr>
            </w:pPr>
            <w:r>
              <w:rPr>
                <w:lang w:eastAsia="ko-KR"/>
              </w:rPr>
              <w:t>12</w:t>
            </w:r>
          </w:p>
        </w:tc>
        <w:tc>
          <w:tcPr>
            <w:tcW w:w="1082" w:type="dxa"/>
          </w:tcPr>
          <w:p w14:paraId="738353CC">
            <w:pPr>
              <w:pStyle w:val="52"/>
              <w:rPr>
                <w:lang w:eastAsia="ko-KR"/>
              </w:rPr>
            </w:pPr>
            <w:r>
              <w:rPr>
                <w:lang w:eastAsia="ko-KR"/>
              </w:rPr>
              <w:t>8</w:t>
            </w:r>
          </w:p>
        </w:tc>
        <w:tc>
          <w:tcPr>
            <w:tcW w:w="1082" w:type="dxa"/>
          </w:tcPr>
          <w:p w14:paraId="1032A768">
            <w:pPr>
              <w:pStyle w:val="52"/>
              <w:rPr>
                <w:lang w:eastAsia="ko-KR"/>
              </w:rPr>
            </w:pPr>
            <w:r>
              <w:rPr>
                <w:lang w:eastAsia="ko-KR"/>
              </w:rPr>
              <w:t>6</w:t>
            </w:r>
          </w:p>
        </w:tc>
        <w:tc>
          <w:tcPr>
            <w:tcW w:w="2111" w:type="dxa"/>
          </w:tcPr>
          <w:p w14:paraId="30A279B4">
            <w:pPr>
              <w:pStyle w:val="52"/>
              <w:rPr>
                <w:lang w:eastAsia="ko-KR"/>
              </w:rPr>
            </w:pPr>
            <w:r>
              <w:rPr>
                <w:lang w:eastAsia="ko-KR"/>
              </w:rPr>
              <w:t>12</w:t>
            </w:r>
          </w:p>
        </w:tc>
        <w:tc>
          <w:tcPr>
            <w:tcW w:w="1082" w:type="dxa"/>
          </w:tcPr>
          <w:p w14:paraId="6423CED2">
            <w:pPr>
              <w:pStyle w:val="52"/>
              <w:rPr>
                <w:lang w:eastAsia="ko-KR"/>
              </w:rPr>
            </w:pPr>
            <w:r>
              <w:rPr>
                <w:lang w:eastAsia="ko-KR"/>
              </w:rPr>
              <w:t>8</w:t>
            </w:r>
          </w:p>
        </w:tc>
        <w:tc>
          <w:tcPr>
            <w:tcW w:w="1082" w:type="dxa"/>
            <w:shd w:val="clear" w:color="auto" w:fill="auto"/>
          </w:tcPr>
          <w:p w14:paraId="4CC245B9">
            <w:pPr>
              <w:pStyle w:val="52"/>
              <w:rPr>
                <w:lang w:eastAsia="ko-KR"/>
              </w:rPr>
            </w:pPr>
            <w:r>
              <w:rPr>
                <w:lang w:eastAsia="ko-KR"/>
              </w:rPr>
              <w:t>6</w:t>
            </w:r>
          </w:p>
        </w:tc>
      </w:tr>
      <w:tr w14:paraId="4D76A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7"/>
          </w:tcPr>
          <w:p w14:paraId="1CB84800">
            <w:pPr>
              <w:pStyle w:val="66"/>
            </w:pPr>
            <w:r>
              <w:t>N</w:t>
            </w:r>
            <w:r>
              <w:rPr>
                <w:lang w:eastAsia="ko-KR"/>
              </w:rPr>
              <w:t xml:space="preserve">OTE </w:t>
            </w:r>
            <w:r>
              <w:rPr>
                <w:rFonts w:eastAsia="MS Mincho"/>
                <w:lang w:eastAsia="ja-JP"/>
              </w:rPr>
              <w:t>1</w:t>
            </w:r>
            <w:r>
              <w:t>:</w:t>
            </w:r>
            <w:r>
              <w:tab/>
            </w:r>
            <w:r>
              <w:t>For Gap Pattern ID 0, 1, 2 and 3, total number of interrupted subframes on MCG is MGL subframes when MG timing advance of 0 ms is applied, and (MGL+1) subframes when MG timing advance of 0.5 ms is applied.</w:t>
            </w:r>
          </w:p>
          <w:p w14:paraId="64AEEF7B">
            <w:pPr>
              <w:pStyle w:val="66"/>
              <w:rPr>
                <w:lang w:eastAsia="zh-CN"/>
              </w:rPr>
            </w:pPr>
            <w:r>
              <w:rPr>
                <w:rFonts w:hint="eastAsia"/>
                <w:lang w:eastAsia="zh-CN"/>
              </w:rPr>
              <w:t xml:space="preserve">NOTE 2:  </w:t>
            </w:r>
            <w:r>
              <w:tab/>
            </w:r>
            <w:r>
              <w:rPr>
                <w:rFonts w:hint="eastAsia"/>
                <w:lang w:eastAsia="zh-CN"/>
              </w:rPr>
              <w:t>Void</w:t>
            </w:r>
          </w:p>
          <w:p w14:paraId="4E2A727A">
            <w:pPr>
              <w:pStyle w:val="66"/>
              <w:rPr>
                <w:lang w:eastAsia="zh-CN"/>
              </w:rPr>
            </w:pPr>
            <w:r>
              <w:rPr>
                <w:rFonts w:eastAsia="MS Mincho"/>
                <w:lang w:eastAsia="ja-JP"/>
              </w:rPr>
              <w:t>NOTE 3</w:t>
            </w:r>
            <w:r>
              <w:t>:</w:t>
            </w:r>
            <w:r>
              <w:tab/>
            </w:r>
            <w:r>
              <w:t>Non-overlapped half-slots occur before and after the measurement gap.</w:t>
            </w:r>
            <w:del w:id="15" w:author="ZTE-Chenchen" w:date="2026-01-30T20:56:03Z">
              <w:r>
                <w:rPr/>
                <w:delText xml:space="preserve"> </w:delText>
              </w:r>
            </w:del>
            <w:del w:id="16" w:author="ZTE-Chenchen" w:date="2026-01-30T20:56:03Z">
              <w:r>
                <w:rPr>
                  <w:highlight w:val="none"/>
                </w:rPr>
                <w:delText>Whether a Rel-15 UE can receive and/or transmit in those half-slots is up to UE implementation.</w:delText>
              </w:r>
            </w:del>
          </w:p>
        </w:tc>
      </w:tr>
    </w:tbl>
    <w:p w14:paraId="5B7269F5">
      <w:pPr>
        <w:rPr>
          <w:lang w:eastAsia="zh-CN"/>
        </w:rPr>
      </w:pPr>
    </w:p>
    <w:p w14:paraId="4F57BFBC">
      <w:r>
        <w:rPr>
          <w:lang w:eastAsia="zh-CN"/>
        </w:rPr>
        <w:t xml:space="preserve">It is </w:t>
      </w:r>
      <w:r>
        <w:t xml:space="preserve">up to UE implementation whether or not the UE is able to conduct transmission in the following slot(s), </w:t>
      </w:r>
    </w:p>
    <w:p w14:paraId="74636011">
      <w:pPr>
        <w:pStyle w:val="75"/>
        <w:rPr>
          <w:lang w:eastAsia="zh-CN"/>
        </w:rPr>
      </w:pPr>
      <w:r>
        <w:t>-</w:t>
      </w:r>
      <w:r>
        <w:tab/>
      </w:r>
      <w:r>
        <w:t xml:space="preserve">when MGTA is not applied, </w:t>
      </w:r>
      <w:r>
        <w:rPr>
          <w:lang w:eastAsia="zh-CN"/>
        </w:rPr>
        <w:t xml:space="preserve">in the L consecutive UL slots </w:t>
      </w:r>
      <w:r>
        <w:t>with respect to the SCS of the UL carrier</w:t>
      </w:r>
      <w:r>
        <w:rPr>
          <w:lang w:eastAsia="zh-CN"/>
        </w:rPr>
        <w:t xml:space="preserve"> with the same slot indices as the DL slots occurring immediately after measurement gap</w:t>
      </w:r>
    </w:p>
    <w:p w14:paraId="2369650A">
      <w:pPr>
        <w:pStyle w:val="75"/>
        <w:rPr>
          <w:lang w:eastAsia="zh-CN"/>
        </w:rPr>
      </w:pPr>
      <w:r>
        <w:t>-</w:t>
      </w:r>
      <w:r>
        <w:tab/>
      </w:r>
      <w:r>
        <w:t xml:space="preserve">when MGTA is applied and the SCS of the UL carrier is other than 15 kHz, </w:t>
      </w:r>
      <w:r>
        <w:rPr>
          <w:lang w:eastAsia="zh-CN"/>
        </w:rPr>
        <w:t xml:space="preserve">in the L consecutive UL slots </w:t>
      </w:r>
      <w:r>
        <w:t>with respect to the SCS of the UL carrier</w:t>
      </w:r>
      <w:r>
        <w:rPr>
          <w:lang w:eastAsia="zh-CN"/>
        </w:rPr>
        <w:t xml:space="preserve"> with the same slot indices as the DL slots occurring immediately after measurement gap</w:t>
      </w:r>
    </w:p>
    <w:p w14:paraId="1D55E3A9">
      <w:pPr>
        <w:pStyle w:val="75"/>
        <w:jc w:val="both"/>
        <w:rPr>
          <w:lang w:eastAsia="zh-CN"/>
        </w:rPr>
      </w:pPr>
      <w:r>
        <w:t>-</w:t>
      </w:r>
      <w:r>
        <w:tab/>
      </w:r>
      <w:r>
        <w:t xml:space="preserve">when MGTA is applied and the SCS of the UL carrier is 15 kHz, </w:t>
      </w:r>
      <w:r>
        <w:rPr>
          <w:lang w:eastAsia="zh-CN"/>
        </w:rPr>
        <w:t xml:space="preserve">in the L consecutive UL slots </w:t>
      </w:r>
      <w:r>
        <w:t>with respect to the SCS of the UL carrier</w:t>
      </w:r>
      <w:r>
        <w:rPr>
          <w:lang w:eastAsia="zh-CN"/>
        </w:rPr>
        <w:t xml:space="preserve"> with the same slot indices as the DL slots occurring immediately after the slot partially overlapped with measurement gap</w:t>
      </w:r>
    </w:p>
    <w:p w14:paraId="43DE9DEE">
      <w:r>
        <w:t xml:space="preserve">where UL slot </w:t>
      </w:r>
      <w:r>
        <w:rPr>
          <w:lang w:eastAsia="zh-CN"/>
        </w:rPr>
        <w:t>denotes that all the symbols in the slot are uplink symbols</w:t>
      </w:r>
      <w:r>
        <w:t xml:space="preserve">, and </w:t>
      </w:r>
      <w:r>
        <w:rPr>
          <w:lang w:eastAsia="zh-CN"/>
        </w:rPr>
        <w:t xml:space="preserve">L=1 if </w:t>
      </w:r>
      <w:r>
        <w:t xml:space="preserve"> </w:t>
      </w:r>
      <w:r>
        <w:rPr>
          <w:position w:val="-14"/>
        </w:rPr>
        <w:object>
          <v:shape id="_x0000_i1025" o:spt="75" type="#_x0000_t75" style="height:15.35pt;width:140.65pt;" o:ole="t" filled="f" o:preferrelative="t" stroked="f" coordsize="21600,21600">
            <v:path/>
            <v:fill on="f" focussize="0,0"/>
            <v:stroke on="f" joinstyle="miter"/>
            <v:imagedata r:id="rId12" o:title=""/>
            <o:lock v:ext="edit" aspectratio="t"/>
            <w10:wrap type="none"/>
            <w10:anchorlock/>
          </v:shape>
          <o:OLEObject Type="Embed" ProgID="Equation.3" ShapeID="_x0000_i1025" DrawAspect="Content" ObjectID="_1468075725" r:id="rId11">
            <o:LockedField>false</o:LockedField>
          </o:OLEObject>
        </w:object>
      </w:r>
      <w:r>
        <w:t xml:space="preserve"> for the UL transmission is less than the length of one slot; L=2 otherwise.</w:t>
      </w:r>
    </w:p>
    <w:p w14:paraId="638BBB93">
      <w:pPr>
        <w:pStyle w:val="56"/>
      </w:pPr>
      <w:r>
        <w:t xml:space="preserve">NOTE: </w:t>
      </w:r>
      <w:r>
        <w:tab/>
      </w:r>
      <w:r>
        <w:t>Network is supposed to take into account the possible difference between the estimated TA at network and actual TA at UE when scheduling UE in the above slot(s).</w:t>
      </w:r>
    </w:p>
    <w:p w14:paraId="2A2B7532">
      <w:pPr>
        <w:pStyle w:val="83"/>
      </w:pPr>
      <w:r>
        <w:t>==============</w:t>
      </w:r>
      <w:r>
        <w:rPr>
          <w:rFonts w:hint="eastAsia"/>
          <w:lang w:val="en-US" w:eastAsia="zh-CN"/>
        </w:rPr>
        <w:t>End of</w:t>
      </w:r>
      <w:r>
        <w:t xml:space="preserve"> change</w:t>
      </w:r>
      <w:r>
        <w:rPr>
          <w:rFonts w:hint="eastAsia"/>
          <w:lang w:val="en-US" w:eastAsia="zh-CN"/>
        </w:rPr>
        <w:t xml:space="preserve"> #1</w:t>
      </w:r>
      <w:r>
        <w:t>==============</w:t>
      </w:r>
    </w:p>
    <w:p w14:paraId="7767DE80"/>
    <w:p w14:paraId="099D8107">
      <w:pPr>
        <w:pStyle w:val="83"/>
      </w:pPr>
      <w:r>
        <w:t>==============</w:t>
      </w:r>
      <w:r>
        <w:rPr>
          <w:rFonts w:hint="eastAsia"/>
          <w:lang w:val="en-US" w:eastAsia="zh-CN"/>
        </w:rPr>
        <w:t>Start of</w:t>
      </w:r>
      <w:r>
        <w:t xml:space="preserve"> change</w:t>
      </w:r>
      <w:r>
        <w:rPr>
          <w:rFonts w:hint="eastAsia"/>
          <w:lang w:val="en-US" w:eastAsia="zh-CN"/>
        </w:rPr>
        <w:t xml:space="preserve"> #2</w:t>
      </w:r>
      <w:r>
        <w:t>==============</w:t>
      </w:r>
    </w:p>
    <w:p w14:paraId="351D71F6">
      <w:pPr>
        <w:pStyle w:val="4"/>
      </w:pPr>
      <w:r>
        <w:t>9.2</w:t>
      </w:r>
      <w:r>
        <w:rPr>
          <w:lang w:eastAsia="zh-CN"/>
        </w:rPr>
        <w:t>D</w:t>
      </w:r>
      <w:r>
        <w:t>.1</w:t>
      </w:r>
      <w:r>
        <w:tab/>
      </w:r>
      <w:r>
        <w:t>Introduction</w:t>
      </w:r>
    </w:p>
    <w:p w14:paraId="01B69D58">
      <w:r>
        <w:t>A measurement is defined as a SSB based intra-frequency measurement provided the SSB frequency configured in the measurement object associated with the serving cell indicated for measurement and the centre frequency of the SSB of the neighbour cell are the same, and the subcarrier spacing of the two SSBs are also the same.</w:t>
      </w:r>
    </w:p>
    <w:p w14:paraId="60A8AB42">
      <w:r>
        <w:t>The UE shall be able to identify new intra-frequency cells and perform SS-RSRP, SS-RSRQ, and SS-SINR measurements of identified intra-frequency cells if carrier frequency information is provided by PCell, even if no explicit neighbour list with physical layer cell identities is provided.</w:t>
      </w:r>
    </w:p>
    <w:p w14:paraId="41BEE522">
      <w:r>
        <w:rPr>
          <w:lang w:eastAsia="en-GB"/>
        </w:rPr>
        <w:t>The UE can perform intra-frequency SSB based measurements without measurement gaps  if</w:t>
      </w:r>
    </w:p>
    <w:p w14:paraId="5369213E">
      <w:pPr>
        <w:pStyle w:val="75"/>
        <w:rPr>
          <w:lang w:eastAsia="zh-CN"/>
        </w:rPr>
      </w:pPr>
      <w:r>
        <w:t>-</w:t>
      </w:r>
      <w:r>
        <w:tab/>
      </w:r>
      <w:r>
        <w:t xml:space="preserve">the UE indicates ‘no-gap’ via </w:t>
      </w:r>
      <w:r>
        <w:rPr>
          <w:i/>
        </w:rPr>
        <w:t>intraFreq-needForGap</w:t>
      </w:r>
      <w:r>
        <w:t xml:space="preserve"> for intra-frequency measurement</w:t>
      </w:r>
      <w:r>
        <w:rPr>
          <w:lang w:eastAsia="zh-CN"/>
        </w:rPr>
        <w:t>, or</w:t>
      </w:r>
    </w:p>
    <w:p w14:paraId="032D23D7">
      <w:pPr>
        <w:pStyle w:val="75"/>
        <w:rPr>
          <w:lang w:eastAsia="zh-CN"/>
        </w:rPr>
      </w:pPr>
      <w:r>
        <w:t>-</w:t>
      </w:r>
      <w:r>
        <w:tab/>
      </w:r>
      <w:r>
        <w:t xml:space="preserve">the SSB is completely contained in the </w:t>
      </w:r>
      <w:r>
        <w:rPr>
          <w:lang w:eastAsia="zh-CN"/>
        </w:rPr>
        <w:t>active BWP</w:t>
      </w:r>
      <w:r>
        <w:t xml:space="preserve"> of the UE</w:t>
      </w:r>
      <w:r>
        <w:rPr>
          <w:lang w:eastAsia="zh-CN"/>
        </w:rPr>
        <w:t>, or</w:t>
      </w:r>
    </w:p>
    <w:p w14:paraId="75C49A30">
      <w:pPr>
        <w:pStyle w:val="75"/>
      </w:pPr>
      <w:r>
        <w:rPr>
          <w:lang w:eastAsia="zh-CN"/>
        </w:rPr>
        <w:t>-</w:t>
      </w:r>
      <w:r>
        <w:tab/>
      </w:r>
      <w:r>
        <w:t>the active downlink BWP is initial BWP</w:t>
      </w:r>
      <w:r>
        <w:rPr>
          <w:lang w:eastAsia="zh-CN"/>
        </w:rPr>
        <w:t>[3]</w:t>
      </w:r>
      <w:r>
        <w:t>.</w:t>
      </w:r>
    </w:p>
    <w:p w14:paraId="125C0E4A">
      <w:r>
        <w:t>For intra-frequency SSB based measurements without measurement gaps, UE may cause scheduling restriction as specified in clause 9.2</w:t>
      </w:r>
      <w:r>
        <w:rPr>
          <w:lang w:eastAsia="zh-CN"/>
        </w:rPr>
        <w:t>D</w:t>
      </w:r>
      <w:r>
        <w:t>.5.3.</w:t>
      </w:r>
      <w:r>
        <w:rPr>
          <w:rFonts w:hint="eastAsia"/>
          <w:lang w:eastAsia="zh-CN"/>
        </w:rPr>
        <w:t xml:space="preserve"> </w:t>
      </w:r>
      <w:r>
        <w:t>SSB based measurements are configured along with one or two measurement timing configuration(s) (SMTC(s)) which provides periodicity, duration and offset information on a window of up to 5 ms where the measurements are to be performed. For intra-frequency connected mode measurements, up to two measurement window periodicities may be configured. A single measurement window offset and measurement duration are configured per intra-frequency measurement object.</w:t>
      </w:r>
    </w:p>
    <w:p w14:paraId="709CF82F">
      <w:pPr>
        <w:rPr>
          <w:rFonts w:cs="v4.2.0"/>
        </w:rPr>
      </w:pPr>
      <w:r>
        <w:t>When measurement gaps are needed, the UE is not expected to detect SSB and measure RSSI of RSRQ which start earlier than the gap starting time + switching time, nor detect SSB and measure RSSI of RSRQ which end later than the gap end – switching time. Switching time is 0.5 ms for frequency range FR1.</w:t>
      </w:r>
    </w:p>
    <w:p w14:paraId="50EA11F8">
      <w:pPr>
        <w:rPr>
          <w:rFonts w:cs="v4.2.0"/>
        </w:rPr>
      </w:pPr>
      <w:r>
        <w:rPr>
          <w:rFonts w:cs="v4.2.0"/>
          <w:lang w:eastAsia="zh-CN"/>
        </w:rPr>
        <w:t>The requirements in this clause shall also apply, when</w:t>
      </w:r>
      <w:r>
        <w:rPr>
          <w:rFonts w:cs="v4.2.0"/>
        </w:rPr>
        <w:t xml:space="preserve"> the UE is configured to perform SRS carrier based switching and using measurement gaps.</w:t>
      </w:r>
    </w:p>
    <w:p w14:paraId="7C1ED7B5">
      <w:pPr>
        <w:rPr>
          <w:ins w:id="17" w:author="ZTE-Chenchen" w:date="2026-01-30T20:46:11Z"/>
        </w:rPr>
      </w:pPr>
      <w:ins w:id="18" w:author="ZTE-Chenchen" w:date="2026-01-30T20:46:11Z">
        <w:r>
          <w:rPr/>
          <w:t>The intra-frequency measurement requirements in clause 9.2</w:t>
        </w:r>
      </w:ins>
      <w:ins w:id="19" w:author="ZTE-Chenchen" w:date="2026-01-30T20:46:58Z">
        <w:r>
          <w:rPr>
            <w:rFonts w:hint="eastAsia" w:eastAsia="宋体"/>
            <w:lang w:val="en-US" w:eastAsia="zh-CN"/>
          </w:rPr>
          <w:t>D</w:t>
        </w:r>
      </w:ins>
      <w:ins w:id="20" w:author="ZTE-Chenchen" w:date="2026-01-30T20:46:11Z">
        <w:r>
          <w:rPr/>
          <w:t>.5 applies for the following scenarios:</w:t>
        </w:r>
      </w:ins>
    </w:p>
    <w:p w14:paraId="464629B9">
      <w:pPr>
        <w:rPr>
          <w:ins w:id="21" w:author="ZTE-Chenchen" w:date="2026-01-30T20:46:11Z"/>
        </w:rPr>
      </w:pPr>
      <w:ins w:id="22" w:author="ZTE-Chenchen" w:date="2026-01-30T20:46:11Z">
        <w:r>
          <w:rPr/>
          <w:t>-</w:t>
        </w:r>
      </w:ins>
      <w:ins w:id="23" w:author="ZTE-Chenchen" w:date="2026-01-30T20:46:11Z">
        <w:r>
          <w:rPr/>
          <w:tab/>
        </w:r>
      </w:ins>
      <w:ins w:id="24" w:author="ZTE-Chenchen" w:date="2026-01-30T20:46:11Z">
        <w:r>
          <w:rPr/>
          <w:t>SSB based intra-frequency measurements with no measurement gap,</w:t>
        </w:r>
      </w:ins>
    </w:p>
    <w:p w14:paraId="41F330B5">
      <w:pPr>
        <w:pStyle w:val="75"/>
        <w:ind w:left="852"/>
        <w:rPr>
          <w:ins w:id="25" w:author="ZTE-Chenchen" w:date="2026-01-30T20:46:11Z"/>
        </w:rPr>
      </w:pPr>
      <w:ins w:id="26" w:author="ZTE-Chenchen" w:date="2026-01-30T20:46:11Z">
        <w:r>
          <w:rPr/>
          <w:t>-</w:t>
        </w:r>
      </w:ins>
      <w:ins w:id="27" w:author="ZTE-Chenchen" w:date="2026-01-30T20:46:11Z">
        <w:r>
          <w:rPr/>
          <w:tab/>
        </w:r>
      </w:ins>
      <w:ins w:id="28" w:author="ZTE-Chenchen" w:date="2026-01-30T20:46:11Z">
        <w:r>
          <w:rPr/>
          <w:t xml:space="preserve">when </w:t>
        </w:r>
      </w:ins>
      <w:ins w:id="29" w:author="ZTE-Chenchen" w:date="2026-01-30T20:46:11Z">
        <w:r>
          <w:rPr>
            <w:u w:val="single"/>
          </w:rPr>
          <w:t>none</w:t>
        </w:r>
      </w:ins>
      <w:ins w:id="30" w:author="ZTE-Chenchen" w:date="2026-01-30T20:46:11Z">
        <w:r>
          <w:rPr/>
          <w:t xml:space="preserve"> of the SMTC occasions of this intra-frequency </w:t>
        </w:r>
      </w:ins>
      <w:ins w:id="31" w:author="ZTE-Chenchen" w:date="2026-01-30T20:46:11Z">
        <w:r>
          <w:rPr>
            <w:lang w:val="en-US"/>
          </w:rPr>
          <w:t>measurement object</w:t>
        </w:r>
      </w:ins>
      <w:ins w:id="32" w:author="ZTE-Chenchen" w:date="2026-01-30T20:46:11Z">
        <w:r>
          <w:rPr/>
          <w:t xml:space="preserve"> are overlapped by the measurement gap.</w:t>
        </w:r>
      </w:ins>
    </w:p>
    <w:p w14:paraId="29A0798E">
      <w:pPr>
        <w:ind w:left="852" w:hanging="284"/>
        <w:rPr>
          <w:ins w:id="33" w:author="ZTE-Chenchen" w:date="2026-01-30T20:46:11Z"/>
        </w:rPr>
      </w:pPr>
      <w:ins w:id="34" w:author="ZTE-Chenchen" w:date="2026-01-30T20:46:11Z">
        <w:r>
          <w:rPr/>
          <w:t>-</w:t>
        </w:r>
      </w:ins>
      <w:ins w:id="35" w:author="ZTE-Chenchen" w:date="2026-01-30T20:46:11Z">
        <w:r>
          <w:rPr/>
          <w:tab/>
        </w:r>
      </w:ins>
      <w:ins w:id="36" w:author="ZTE-Chenchen" w:date="2026-01-30T20:46:11Z">
        <w:r>
          <w:rPr/>
          <w:t xml:space="preserve">when part of the SMTC occasions of this intra-frequency </w:t>
        </w:r>
      </w:ins>
      <w:ins w:id="37" w:author="ZTE-Chenchen" w:date="2026-01-30T20:46:11Z">
        <w:r>
          <w:rPr>
            <w:lang w:val="en-US"/>
          </w:rPr>
          <w:t>measurement object</w:t>
        </w:r>
      </w:ins>
      <w:ins w:id="38" w:author="ZTE-Chenchen" w:date="2026-01-30T20:46:11Z">
        <w:r>
          <w:rPr/>
          <w:t xml:space="preserve"> are overlapped by the measurement gap. </w:t>
        </w:r>
      </w:ins>
    </w:p>
    <w:p w14:paraId="0C640259">
      <w:pPr>
        <w:rPr>
          <w:ins w:id="39" w:author="ZTE-Chenchen" w:date="2026-01-30T20:46:11Z"/>
        </w:rPr>
      </w:pPr>
      <w:ins w:id="40" w:author="ZTE-Chenchen" w:date="2026-01-30T20:46:11Z">
        <w:r>
          <w:rPr/>
          <w:t>The intra-frequency measurement requirements in clause 9.2</w:t>
        </w:r>
      </w:ins>
      <w:ins w:id="41" w:author="ZTE-Chenchen" w:date="2026-01-30T20:47:38Z">
        <w:r>
          <w:rPr>
            <w:rFonts w:hint="eastAsia" w:eastAsia="宋体"/>
            <w:lang w:val="en-US" w:eastAsia="zh-CN"/>
          </w:rPr>
          <w:t>D</w:t>
        </w:r>
      </w:ins>
      <w:ins w:id="42" w:author="ZTE-Chenchen" w:date="2026-01-30T20:46:11Z">
        <w:r>
          <w:rPr/>
          <w:t>.6 applies for the following scenarios:</w:t>
        </w:r>
      </w:ins>
    </w:p>
    <w:p w14:paraId="73BAC7ED">
      <w:pPr>
        <w:rPr>
          <w:ins w:id="43" w:author="ZTE-Chenchen" w:date="2026-01-30T20:46:11Z"/>
        </w:rPr>
      </w:pPr>
      <w:ins w:id="44" w:author="ZTE-Chenchen" w:date="2026-01-30T20:46:11Z">
        <w:r>
          <w:rPr/>
          <w:t>-</w:t>
        </w:r>
      </w:ins>
      <w:ins w:id="45" w:author="ZTE-Chenchen" w:date="2026-01-30T20:46:11Z">
        <w:r>
          <w:rPr/>
          <w:tab/>
        </w:r>
      </w:ins>
      <w:ins w:id="46" w:author="ZTE-Chenchen" w:date="2026-01-30T20:46:11Z">
        <w:r>
          <w:rPr/>
          <w:t>SSB based intra-frequency measurements with measurement gap,</w:t>
        </w:r>
      </w:ins>
    </w:p>
    <w:p w14:paraId="5F94C6C2">
      <w:pPr>
        <w:rPr>
          <w:ins w:id="47" w:author="ZTE-Chenchen" w:date="2026-01-30T20:46:11Z"/>
        </w:rPr>
      </w:pPr>
      <w:ins w:id="48" w:author="ZTE-Chenchen" w:date="2026-01-30T20:46:11Z">
        <w:r>
          <w:rPr/>
          <w:t>-</w:t>
        </w:r>
      </w:ins>
      <w:ins w:id="49" w:author="ZTE-Chenchen" w:date="2026-01-30T20:46:11Z">
        <w:r>
          <w:rPr/>
          <w:tab/>
        </w:r>
      </w:ins>
      <w:ins w:id="50" w:author="ZTE-Chenchen" w:date="2026-01-30T20:46:11Z">
        <w:r>
          <w:rPr/>
          <w:t>SSB based intra-frequency measurements with no measurement gap with the following condition,</w:t>
        </w:r>
      </w:ins>
    </w:p>
    <w:p w14:paraId="0D17CBEC">
      <w:pPr>
        <w:ind w:left="852" w:hanging="284"/>
      </w:pPr>
      <w:ins w:id="51" w:author="ZTE-Chenchen" w:date="2026-01-30T20:46:11Z">
        <w:r>
          <w:rPr/>
          <w:t>-</w:t>
        </w:r>
      </w:ins>
      <w:ins w:id="52" w:author="ZTE-Chenchen" w:date="2026-01-30T20:46:11Z">
        <w:r>
          <w:rPr/>
          <w:tab/>
        </w:r>
      </w:ins>
      <w:ins w:id="53" w:author="ZTE-Chenchen" w:date="2026-01-30T20:46:11Z">
        <w:r>
          <w:rPr/>
          <w:t>when all of the SMTC occasions of this intra-frequency measurement object are overlapped with the measurement gap.</w:t>
        </w:r>
      </w:ins>
    </w:p>
    <w:p w14:paraId="67312E17">
      <w:pPr>
        <w:pStyle w:val="83"/>
      </w:pPr>
      <w:r>
        <w:t>==============</w:t>
      </w:r>
      <w:r>
        <w:rPr>
          <w:rFonts w:hint="eastAsia"/>
          <w:lang w:val="en-US" w:eastAsia="zh-CN"/>
        </w:rPr>
        <w:t>End of</w:t>
      </w:r>
      <w:r>
        <w:t xml:space="preserve"> change</w:t>
      </w:r>
      <w:r>
        <w:rPr>
          <w:rFonts w:hint="eastAsia"/>
          <w:lang w:val="en-US" w:eastAsia="zh-CN"/>
        </w:rPr>
        <w:t xml:space="preserve"> #2</w:t>
      </w:r>
      <w:r>
        <w:t>==============</w:t>
      </w:r>
    </w:p>
    <w:p w14:paraId="38B314A2"/>
    <w:p w14:paraId="439DD2EE"/>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v4.2.0">
    <w:altName w:val="微软雅黑"/>
    <w:panose1 w:val="00000000000000000000"/>
    <w:charset w:val="00"/>
    <w:family w:val="auto"/>
    <w:pitch w:val="default"/>
    <w:sig w:usb0="00000000" w:usb1="00000000" w:usb2="00000000" w:usb3="00000000" w:csb0="00040001" w:csb1="0000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20850"/>
    <w:rsid w:val="003609EF"/>
    <w:rsid w:val="0036231A"/>
    <w:rsid w:val="00374DD4"/>
    <w:rsid w:val="003B717D"/>
    <w:rsid w:val="003D057B"/>
    <w:rsid w:val="003E1A36"/>
    <w:rsid w:val="00410371"/>
    <w:rsid w:val="004242F1"/>
    <w:rsid w:val="004B75B7"/>
    <w:rsid w:val="005141D9"/>
    <w:rsid w:val="0051580D"/>
    <w:rsid w:val="00547111"/>
    <w:rsid w:val="00592D74"/>
    <w:rsid w:val="005E2C44"/>
    <w:rsid w:val="00621188"/>
    <w:rsid w:val="006257ED"/>
    <w:rsid w:val="00653DE4"/>
    <w:rsid w:val="00656F3C"/>
    <w:rsid w:val="00665C47"/>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42FE"/>
    <w:rsid w:val="00A47E70"/>
    <w:rsid w:val="00A50CF0"/>
    <w:rsid w:val="00A7671C"/>
    <w:rsid w:val="00A8068F"/>
    <w:rsid w:val="00AA2CBC"/>
    <w:rsid w:val="00AB2193"/>
    <w:rsid w:val="00AC5820"/>
    <w:rsid w:val="00AD1CD8"/>
    <w:rsid w:val="00AE2715"/>
    <w:rsid w:val="00B258BB"/>
    <w:rsid w:val="00B36776"/>
    <w:rsid w:val="00B67B97"/>
    <w:rsid w:val="00B92888"/>
    <w:rsid w:val="00B968C8"/>
    <w:rsid w:val="00BA3EC5"/>
    <w:rsid w:val="00BA51D9"/>
    <w:rsid w:val="00BB5DFC"/>
    <w:rsid w:val="00BB74FB"/>
    <w:rsid w:val="00BC7777"/>
    <w:rsid w:val="00BD279D"/>
    <w:rsid w:val="00BD6BB8"/>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C7702"/>
    <w:rsid w:val="00EE7D7C"/>
    <w:rsid w:val="00F25D98"/>
    <w:rsid w:val="00F300FB"/>
    <w:rsid w:val="00FB6386"/>
    <w:rsid w:val="04055944"/>
    <w:rsid w:val="0C755A7E"/>
    <w:rsid w:val="0E17039A"/>
    <w:rsid w:val="0E887A67"/>
    <w:rsid w:val="0F764BBB"/>
    <w:rsid w:val="112B1F71"/>
    <w:rsid w:val="132F6F47"/>
    <w:rsid w:val="33855703"/>
    <w:rsid w:val="3AAF3B01"/>
    <w:rsid w:val="407B21C5"/>
    <w:rsid w:val="44025FA3"/>
    <w:rsid w:val="490F21B7"/>
    <w:rsid w:val="4C4B3967"/>
    <w:rsid w:val="526317C6"/>
    <w:rsid w:val="556D25C4"/>
    <w:rsid w:val="55A63DEA"/>
    <w:rsid w:val="570D7D86"/>
    <w:rsid w:val="5DAD5340"/>
    <w:rsid w:val="5E9B24D9"/>
    <w:rsid w:val="659C7635"/>
    <w:rsid w:val="68D85409"/>
    <w:rsid w:val="756468A2"/>
    <w:rsid w:val="776E1C43"/>
    <w:rsid w:val="779573E6"/>
    <w:rsid w:val="788F7C6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paragraph" w:customStyle="1" w:styleId="83">
    <w:name w:val="CR_Separator"/>
    <w:basedOn w:val="1"/>
    <w:link w:val="84"/>
    <w:qFormat/>
    <w:uiPriority w:val="0"/>
    <w:pPr>
      <w:jc w:val="center"/>
    </w:pPr>
    <w:rPr>
      <w:color w:val="0000FF"/>
      <w:sz w:val="36"/>
      <w:szCs w:val="36"/>
    </w:rPr>
  </w:style>
  <w:style w:type="character" w:customStyle="1" w:styleId="84">
    <w:name w:val="CR_Separator Char"/>
    <w:basedOn w:val="43"/>
    <w:link w:val="83"/>
    <w:qFormat/>
    <w:uiPriority w:val="0"/>
    <w:rPr>
      <w:rFonts w:ascii="Times New Roman" w:hAnsi="Times New Roman"/>
      <w:color w:val="0000FF"/>
      <w:sz w:val="36"/>
      <w:szCs w:val="36"/>
      <w:lang w:val="en-GB"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6" Type="http://schemas.microsoft.com/office/2011/relationships/people" Target="people.xml"/><Relationship Id="rId15" Type="http://schemas.openxmlformats.org/officeDocument/2006/relationships/fontTable" Target="fontTable.xml"/><Relationship Id="rId14" Type="http://schemas.microsoft.com/office/2006/relationships/keyMapCustomizations" Target="customizations.xml"/><Relationship Id="rId13" Type="http://schemas.openxmlformats.org/officeDocument/2006/relationships/customXml" Target="../customXml/item1.xml"/><Relationship Id="rId12" Type="http://schemas.openxmlformats.org/officeDocument/2006/relationships/image" Target="media/image3.wmf"/><Relationship Id="rId11" Type="http://schemas.openxmlformats.org/officeDocument/2006/relationships/oleObject" Target="embeddings/oleObject1.bin"/><Relationship Id="rId10" Type="http://schemas.openxmlformats.org/officeDocument/2006/relationships/image" Target="media/image2.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BB1A51-9602-4BB7-9B0C-EC9E3F29FEC2}">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4</Pages>
  <Words>253</Words>
  <Characters>1445</Characters>
  <Lines>12</Lines>
  <Paragraphs>3</Paragraphs>
  <TotalTime>7</TotalTime>
  <ScaleCrop>false</ScaleCrop>
  <LinksUpToDate>false</LinksUpToDate>
  <CharactersWithSpaces>1695</CharactersWithSpaces>
  <Application>WPS Office_12.8.2.19830_F1E327BC-269C-435d-A152-05C5408002CA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ZTE-Chenchen</cp:lastModifiedBy>
  <cp:lastPrinted>2411-12-31T23:00:00Z</cp:lastPrinted>
  <dcterms:modified xsi:type="dcterms:W3CDTF">2026-01-30T14:41:25Z</dcterms:modified>
  <dc:title>MTG_TITLE</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2052-12.8.2.19830</vt:lpwstr>
  </property>
  <property fmtid="{D5CDD505-2E9C-101B-9397-08002B2CF9AE}" pid="22" name="ICV">
    <vt:lpwstr>CA43F0851E184D6697E606499DC770D7_12</vt:lpwstr>
  </property>
</Properties>
</file>